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64" w:rsidRPr="0015655E" w:rsidRDefault="008C0D64" w:rsidP="008C0D64">
      <w:pPr>
        <w:jc w:val="right"/>
        <w:rPr>
          <w:rFonts w:ascii="Times New Roman" w:hAnsi="Times New Roman" w:cs="Times New Roman"/>
          <w:b/>
          <w:bCs/>
        </w:rPr>
      </w:pPr>
      <w:r w:rsidRPr="0015655E">
        <w:rPr>
          <w:rFonts w:ascii="Times New Roman" w:hAnsi="Times New Roman" w:cs="Times New Roman"/>
          <w:b/>
          <w:bCs/>
        </w:rPr>
        <w:t xml:space="preserve">Приложение № 20   </w:t>
      </w:r>
    </w:p>
    <w:p w:rsidR="008C0D64" w:rsidRPr="0015655E" w:rsidRDefault="008C0D64" w:rsidP="008C0D64">
      <w:pPr>
        <w:tabs>
          <w:tab w:val="left" w:pos="540"/>
        </w:tabs>
        <w:ind w:left="426"/>
        <w:jc w:val="right"/>
        <w:rPr>
          <w:rFonts w:ascii="Times New Roman" w:hAnsi="Times New Roman" w:cs="Times New Roman"/>
          <w:b/>
        </w:rPr>
      </w:pPr>
      <w:r w:rsidRPr="0015655E">
        <w:rPr>
          <w:rFonts w:ascii="Times New Roman" w:hAnsi="Times New Roman" w:cs="Times New Roman"/>
          <w:b/>
        </w:rPr>
        <w:t xml:space="preserve">к Инструкции об этапах, </w:t>
      </w:r>
    </w:p>
    <w:p w:rsidR="008C0D64" w:rsidRPr="0015655E" w:rsidRDefault="008C0D64" w:rsidP="008C0D64">
      <w:pPr>
        <w:tabs>
          <w:tab w:val="left" w:pos="540"/>
        </w:tabs>
        <w:ind w:left="426"/>
        <w:jc w:val="right"/>
        <w:rPr>
          <w:rFonts w:ascii="Times New Roman" w:hAnsi="Times New Roman" w:cs="Times New Roman"/>
          <w:b/>
        </w:rPr>
      </w:pPr>
      <w:proofErr w:type="gramStart"/>
      <w:r w:rsidRPr="0015655E">
        <w:rPr>
          <w:rFonts w:ascii="Times New Roman" w:hAnsi="Times New Roman" w:cs="Times New Roman"/>
          <w:b/>
        </w:rPr>
        <w:t>сроках</w:t>
      </w:r>
      <w:proofErr w:type="gramEnd"/>
      <w:r w:rsidRPr="0015655E">
        <w:rPr>
          <w:rFonts w:ascii="Times New Roman" w:hAnsi="Times New Roman" w:cs="Times New Roman"/>
          <w:b/>
        </w:rPr>
        <w:t xml:space="preserve">, порядке и процедурах </w:t>
      </w:r>
    </w:p>
    <w:p w:rsidR="008C0D64" w:rsidRPr="0015655E" w:rsidRDefault="008C0D64" w:rsidP="008C0D64">
      <w:pPr>
        <w:pStyle w:val="NoSpacing"/>
        <w:jc w:val="right"/>
        <w:rPr>
          <w:rFonts w:ascii="Times New Roman" w:hAnsi="Times New Roman"/>
          <w:b/>
          <w:bCs/>
          <w:sz w:val="24"/>
          <w:szCs w:val="24"/>
        </w:rPr>
      </w:pPr>
      <w:r w:rsidRPr="0015655E">
        <w:rPr>
          <w:rFonts w:ascii="Times New Roman" w:hAnsi="Times New Roman"/>
          <w:b/>
          <w:sz w:val="24"/>
          <w:szCs w:val="24"/>
        </w:rPr>
        <w:t>регистрации ценных бумаг</w:t>
      </w:r>
      <w:r w:rsidRPr="0015655E">
        <w:rPr>
          <w:rFonts w:ascii="Times New Roman" w:hAnsi="Times New Roman"/>
          <w:b/>
          <w:bCs/>
          <w:sz w:val="24"/>
          <w:szCs w:val="24"/>
        </w:rPr>
        <w:t xml:space="preserve"> </w:t>
      </w:r>
    </w:p>
    <w:p w:rsidR="008C0D64" w:rsidRPr="0015655E" w:rsidRDefault="008C0D64" w:rsidP="008C0D64">
      <w:pPr>
        <w:jc w:val="right"/>
        <w:rPr>
          <w:rFonts w:ascii="Times New Roman" w:eastAsia="Arial Unicode MS" w:hAnsi="Times New Roman" w:cs="Times New Roman"/>
          <w:color w:val="000000"/>
        </w:rPr>
      </w:pPr>
    </w:p>
    <w:p w:rsidR="008C0D64" w:rsidRPr="0015655E" w:rsidRDefault="008C0D64" w:rsidP="008C0D64">
      <w:pPr>
        <w:shd w:val="clear" w:color="auto" w:fill="FFFFFF"/>
        <w:jc w:val="center"/>
        <w:textAlignment w:val="baseline"/>
        <w:rPr>
          <w:rFonts w:ascii="Times New Roman" w:hAnsi="Times New Roman" w:cs="Times New Roman"/>
          <w:b/>
          <w:sz w:val="28"/>
          <w:szCs w:val="28"/>
        </w:rPr>
      </w:pPr>
      <w:r w:rsidRPr="0015655E">
        <w:t xml:space="preserve"> </w:t>
      </w:r>
      <w:r w:rsidRPr="0015655E">
        <w:rPr>
          <w:rFonts w:ascii="Times New Roman" w:hAnsi="Times New Roman" w:cs="Times New Roman"/>
          <w:b/>
          <w:sz w:val="28"/>
          <w:szCs w:val="28"/>
        </w:rPr>
        <w:t xml:space="preserve">Требования  к составлению Резюме к проспекту ценных бумаг  </w:t>
      </w:r>
    </w:p>
    <w:p w:rsidR="008C0D64" w:rsidRPr="0015655E" w:rsidRDefault="008C0D64" w:rsidP="008C0D64">
      <w:pPr>
        <w:shd w:val="clear" w:color="auto" w:fill="FFFFFF"/>
        <w:jc w:val="center"/>
        <w:textAlignment w:val="baseline"/>
        <w:rPr>
          <w:rFonts w:ascii="Times New Roman" w:hAnsi="Times New Roman" w:cs="Times New Roman"/>
          <w:b/>
          <w:sz w:val="28"/>
          <w:szCs w:val="28"/>
        </w:rPr>
      </w:pPr>
    </w:p>
    <w:p w:rsidR="008C0D64" w:rsidRPr="0015655E" w:rsidRDefault="008C0D64" w:rsidP="008C0D64">
      <w:pPr>
        <w:pStyle w:val="NoSpacing"/>
        <w:ind w:left="-567" w:firstLine="425"/>
        <w:jc w:val="both"/>
        <w:rPr>
          <w:rFonts w:ascii="Times New Roman" w:hAnsi="Times New Roman"/>
          <w:sz w:val="28"/>
          <w:szCs w:val="28"/>
        </w:rPr>
      </w:pPr>
      <w:r w:rsidRPr="0015655E">
        <w:rPr>
          <w:rFonts w:ascii="Times New Roman" w:hAnsi="Times New Roman"/>
          <w:b/>
          <w:sz w:val="28"/>
          <w:szCs w:val="28"/>
        </w:rPr>
        <w:t xml:space="preserve">1. </w:t>
      </w:r>
      <w:r w:rsidRPr="0015655E">
        <w:rPr>
          <w:rFonts w:ascii="Times New Roman" w:hAnsi="Times New Roman"/>
          <w:sz w:val="28"/>
          <w:szCs w:val="28"/>
        </w:rPr>
        <w:t> Резюме структурируются по модулям, в соответствии с приложениями к настоящей Инструкции, на которых основывается проспект (например: резюме проспекта по акциям содержало бы необходимую информацию, связанную с элементами из приложений № 7-9 к настоящей Инструкции).</w:t>
      </w:r>
    </w:p>
    <w:p w:rsidR="008C0D64" w:rsidRPr="0015655E" w:rsidRDefault="008C0D64" w:rsidP="008C0D64">
      <w:pPr>
        <w:pStyle w:val="NoSpacing"/>
        <w:ind w:left="-567" w:firstLine="425"/>
        <w:jc w:val="both"/>
        <w:rPr>
          <w:rFonts w:ascii="Times New Roman" w:hAnsi="Times New Roman"/>
          <w:sz w:val="28"/>
          <w:szCs w:val="28"/>
        </w:rPr>
      </w:pPr>
      <w:r w:rsidRPr="0015655E">
        <w:rPr>
          <w:rFonts w:ascii="Times New Roman" w:hAnsi="Times New Roman"/>
          <w:b/>
          <w:sz w:val="28"/>
          <w:szCs w:val="28"/>
        </w:rPr>
        <w:t>2.</w:t>
      </w:r>
      <w:r w:rsidRPr="0015655E">
        <w:rPr>
          <w:rFonts w:ascii="Times New Roman" w:hAnsi="Times New Roman"/>
          <w:sz w:val="28"/>
          <w:szCs w:val="28"/>
        </w:rPr>
        <w:t>  Каждое резюме должно быть составлено из 5 разделов (A-E), согласно нижеследующей детализации.</w:t>
      </w:r>
    </w:p>
    <w:p w:rsidR="008C0D64" w:rsidRPr="0015655E" w:rsidRDefault="008C0D64" w:rsidP="008C0D64">
      <w:pPr>
        <w:pStyle w:val="NoSpacing"/>
        <w:ind w:left="-567"/>
        <w:jc w:val="both"/>
        <w:rPr>
          <w:rFonts w:ascii="Times New Roman" w:hAnsi="Times New Roman"/>
          <w:sz w:val="28"/>
          <w:szCs w:val="28"/>
        </w:rPr>
      </w:pPr>
      <w:r w:rsidRPr="0015655E">
        <w:rPr>
          <w:rFonts w:ascii="Times New Roman" w:hAnsi="Times New Roman"/>
          <w:b/>
          <w:sz w:val="28"/>
          <w:szCs w:val="28"/>
        </w:rPr>
        <w:t xml:space="preserve">     3. </w:t>
      </w:r>
      <w:r w:rsidRPr="0015655E">
        <w:rPr>
          <w:rFonts w:ascii="Times New Roman" w:hAnsi="Times New Roman"/>
          <w:sz w:val="28"/>
          <w:szCs w:val="28"/>
        </w:rPr>
        <w:t> Порядок разделов A-E является обязательным. В каждом разделе элементы должны быть представлены в порядке, в котором они показаны в таблицах.</w:t>
      </w:r>
    </w:p>
    <w:p w:rsidR="008C0D64" w:rsidRPr="0015655E" w:rsidRDefault="008C0D64" w:rsidP="008C0D64">
      <w:pPr>
        <w:pStyle w:val="NoSpacing"/>
        <w:ind w:left="-567"/>
        <w:jc w:val="both"/>
        <w:rPr>
          <w:rFonts w:ascii="Times New Roman" w:hAnsi="Times New Roman"/>
          <w:sz w:val="28"/>
          <w:szCs w:val="28"/>
        </w:rPr>
      </w:pPr>
      <w:r w:rsidRPr="0015655E">
        <w:rPr>
          <w:rFonts w:ascii="Times New Roman" w:hAnsi="Times New Roman"/>
          <w:b/>
          <w:sz w:val="28"/>
          <w:szCs w:val="28"/>
        </w:rPr>
        <w:t xml:space="preserve">     4.</w:t>
      </w:r>
      <w:r w:rsidRPr="0015655E">
        <w:rPr>
          <w:rFonts w:ascii="Times New Roman" w:hAnsi="Times New Roman"/>
          <w:sz w:val="28"/>
          <w:szCs w:val="28"/>
        </w:rPr>
        <w:t xml:space="preserve">  В случае если какой-либо элемент не применяется к проспекту, данный элемент  указывается в резюме и </w:t>
      </w:r>
      <w:proofErr w:type="gramStart"/>
      <w:r w:rsidRPr="0015655E">
        <w:rPr>
          <w:rFonts w:ascii="Times New Roman" w:hAnsi="Times New Roman"/>
          <w:sz w:val="28"/>
          <w:szCs w:val="28"/>
        </w:rPr>
        <w:t>сопровождается примечанием „не применяется</w:t>
      </w:r>
      <w:proofErr w:type="gramEnd"/>
      <w:r w:rsidRPr="0015655E">
        <w:rPr>
          <w:rFonts w:ascii="Times New Roman" w:hAnsi="Times New Roman"/>
          <w:sz w:val="28"/>
          <w:szCs w:val="28"/>
        </w:rPr>
        <w:t>”.</w:t>
      </w:r>
    </w:p>
    <w:p w:rsidR="008C0D64" w:rsidRPr="0015655E" w:rsidRDefault="008C0D64" w:rsidP="008C0D64">
      <w:pPr>
        <w:pStyle w:val="NoSpacing"/>
        <w:ind w:left="-567" w:hanging="142"/>
        <w:jc w:val="both"/>
        <w:rPr>
          <w:rFonts w:ascii="Times New Roman" w:hAnsi="Times New Roman"/>
          <w:sz w:val="28"/>
          <w:szCs w:val="28"/>
        </w:rPr>
      </w:pPr>
      <w:r w:rsidRPr="0015655E">
        <w:rPr>
          <w:rFonts w:ascii="Times New Roman" w:hAnsi="Times New Roman"/>
          <w:b/>
          <w:sz w:val="28"/>
          <w:szCs w:val="28"/>
        </w:rPr>
        <w:t xml:space="preserve">     </w:t>
      </w:r>
      <w:r>
        <w:rPr>
          <w:rFonts w:ascii="Times New Roman" w:hAnsi="Times New Roman"/>
          <w:b/>
          <w:sz w:val="28"/>
          <w:szCs w:val="28"/>
        </w:rPr>
        <w:t xml:space="preserve">  </w:t>
      </w:r>
      <w:r w:rsidRPr="0015655E">
        <w:rPr>
          <w:rFonts w:ascii="Times New Roman" w:hAnsi="Times New Roman"/>
          <w:b/>
          <w:sz w:val="28"/>
          <w:szCs w:val="28"/>
        </w:rPr>
        <w:t xml:space="preserve">5. </w:t>
      </w:r>
      <w:r w:rsidRPr="0015655E">
        <w:rPr>
          <w:rFonts w:ascii="Times New Roman" w:hAnsi="Times New Roman"/>
          <w:sz w:val="28"/>
          <w:szCs w:val="28"/>
        </w:rPr>
        <w:t> В той мере, в какой это необходимо для элемента, описания должны быть короткими.</w:t>
      </w:r>
    </w:p>
    <w:p w:rsidR="008C0D64" w:rsidRPr="0015655E" w:rsidRDefault="008C0D64" w:rsidP="008C0D64">
      <w:pPr>
        <w:pStyle w:val="NoSpacing"/>
        <w:ind w:left="-142" w:hanging="425"/>
        <w:jc w:val="both"/>
        <w:rPr>
          <w:rFonts w:ascii="Times New Roman" w:hAnsi="Times New Roman"/>
          <w:sz w:val="28"/>
          <w:szCs w:val="28"/>
        </w:rPr>
      </w:pPr>
      <w:r w:rsidRPr="0015655E">
        <w:rPr>
          <w:rFonts w:ascii="Times New Roman" w:hAnsi="Times New Roman"/>
          <w:b/>
          <w:sz w:val="28"/>
          <w:szCs w:val="28"/>
        </w:rPr>
        <w:t xml:space="preserve">     6.</w:t>
      </w:r>
      <w:r w:rsidRPr="0015655E">
        <w:rPr>
          <w:rFonts w:ascii="Times New Roman" w:hAnsi="Times New Roman"/>
          <w:sz w:val="28"/>
          <w:szCs w:val="28"/>
        </w:rPr>
        <w:t xml:space="preserve">  Резюме не должны содержать ссылки на определенные части проспекта.</w:t>
      </w:r>
    </w:p>
    <w:p w:rsidR="008C0D64" w:rsidRPr="0015655E" w:rsidRDefault="008C0D64" w:rsidP="008C0D64">
      <w:pPr>
        <w:pStyle w:val="NoSpacing"/>
        <w:ind w:left="-567"/>
        <w:jc w:val="both"/>
        <w:rPr>
          <w:rFonts w:ascii="Times New Roman" w:hAnsi="Times New Roman"/>
          <w:sz w:val="28"/>
          <w:szCs w:val="28"/>
        </w:rPr>
      </w:pPr>
      <w:r w:rsidRPr="0015655E">
        <w:rPr>
          <w:rFonts w:ascii="Times New Roman" w:hAnsi="Times New Roman"/>
          <w:b/>
          <w:sz w:val="28"/>
          <w:szCs w:val="28"/>
        </w:rPr>
        <w:t xml:space="preserve">     7.</w:t>
      </w:r>
      <w:r w:rsidRPr="0015655E">
        <w:rPr>
          <w:rFonts w:ascii="Times New Roman" w:hAnsi="Times New Roman"/>
          <w:sz w:val="28"/>
          <w:szCs w:val="28"/>
        </w:rPr>
        <w:t>  В случае, когда эмитент не обязан представить проспект, но желает представить раздел для общего представления предлагаемых ценных бумаг, он должен удостовериться, что раздел не называется резюме, если только он не отвечает всем требованиям к составлению резюме.</w:t>
      </w:r>
    </w:p>
    <w:p w:rsidR="008C0D64" w:rsidRPr="0015655E" w:rsidRDefault="008C0D64" w:rsidP="008C0D64">
      <w:pPr>
        <w:pStyle w:val="norm"/>
        <w:ind w:hanging="284"/>
        <w:jc w:val="both"/>
        <w:rPr>
          <w:b/>
          <w:sz w:val="28"/>
          <w:szCs w:val="28"/>
        </w:rPr>
      </w:pPr>
      <w:r w:rsidRPr="0015655E">
        <w:rPr>
          <w:rStyle w:val="italics"/>
          <w:b/>
          <w:sz w:val="28"/>
          <w:szCs w:val="28"/>
        </w:rPr>
        <w:t xml:space="preserve"> Раздел A –</w:t>
      </w:r>
      <w:r w:rsidRPr="0015655E">
        <w:rPr>
          <w:b/>
          <w:sz w:val="28"/>
          <w:szCs w:val="28"/>
        </w:rPr>
        <w:t xml:space="preserve">  Введение и предупреждения </w:t>
      </w:r>
    </w:p>
    <w:tbl>
      <w:tblPr>
        <w:tblW w:w="10490" w:type="dxa"/>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7"/>
        <w:gridCol w:w="1230"/>
        <w:gridCol w:w="8363"/>
      </w:tblGrid>
      <w:tr w:rsidR="008C0D64" w:rsidRPr="0015655E" w:rsidTr="00B24149">
        <w:trPr>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hanging="10"/>
              <w:rPr>
                <w:b/>
                <w:bCs/>
                <w:sz w:val="28"/>
                <w:szCs w:val="28"/>
                <w:lang w:val="ru-RU"/>
              </w:rPr>
            </w:pPr>
            <w:r w:rsidRPr="0015655E">
              <w:rPr>
                <w:b/>
                <w:bCs/>
                <w:sz w:val="28"/>
                <w:szCs w:val="28"/>
                <w:lang w:val="ru-RU"/>
              </w:rPr>
              <w:t>Приложения</w:t>
            </w:r>
          </w:p>
        </w:tc>
        <w:tc>
          <w:tcPr>
            <w:tcW w:w="123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bCs/>
                <w:sz w:val="28"/>
                <w:szCs w:val="28"/>
                <w:lang w:val="ru-RU"/>
              </w:rPr>
            </w:pPr>
            <w:r w:rsidRPr="0015655E">
              <w:rPr>
                <w:b/>
                <w:bCs/>
                <w:sz w:val="28"/>
                <w:szCs w:val="28"/>
                <w:lang w:val="ru-RU"/>
              </w:rPr>
              <w:t>Элемент</w:t>
            </w:r>
          </w:p>
        </w:tc>
        <w:tc>
          <w:tcPr>
            <w:tcW w:w="8363"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bCs/>
                <w:sz w:val="28"/>
                <w:szCs w:val="28"/>
                <w:lang w:val="ru-RU"/>
              </w:rPr>
            </w:pPr>
            <w:r w:rsidRPr="0015655E">
              <w:rPr>
                <w:b/>
                <w:bCs/>
                <w:sz w:val="28"/>
                <w:szCs w:val="28"/>
                <w:lang w:val="ru-RU"/>
              </w:rPr>
              <w:t>Требования к рекламе</w:t>
            </w:r>
          </w:p>
        </w:tc>
      </w:tr>
      <w:tr w:rsidR="008C0D64" w:rsidRPr="0015655E" w:rsidTr="00B24149">
        <w:trPr>
          <w:trHeight w:val="2082"/>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right="141"/>
              <w:rPr>
                <w:sz w:val="28"/>
                <w:szCs w:val="28"/>
                <w:lang w:val="ru-RU"/>
              </w:rPr>
            </w:pPr>
            <w:r w:rsidRPr="0015655E">
              <w:rPr>
                <w:rStyle w:val="boldface"/>
                <w:sz w:val="28"/>
                <w:szCs w:val="28"/>
                <w:lang w:val="ru-RU"/>
              </w:rPr>
              <w:t>Все</w:t>
            </w:r>
            <w:r w:rsidRPr="0015655E">
              <w:rPr>
                <w:sz w:val="28"/>
                <w:szCs w:val="28"/>
                <w:lang w:val="ru-RU"/>
              </w:rPr>
              <w:t xml:space="preserve"> </w:t>
            </w:r>
          </w:p>
        </w:tc>
        <w:tc>
          <w:tcPr>
            <w:tcW w:w="123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right="141"/>
              <w:rPr>
                <w:sz w:val="28"/>
                <w:szCs w:val="28"/>
                <w:lang w:val="ru-RU"/>
              </w:rPr>
            </w:pPr>
            <w:r w:rsidRPr="0015655E">
              <w:rPr>
                <w:rStyle w:val="boldface"/>
                <w:sz w:val="28"/>
                <w:szCs w:val="28"/>
                <w:lang w:val="ru-RU"/>
              </w:rPr>
              <w:t>A.1</w:t>
            </w:r>
            <w:r w:rsidRPr="0015655E">
              <w:rPr>
                <w:sz w:val="28"/>
                <w:szCs w:val="28"/>
                <w:lang w:val="ru-RU"/>
              </w:rPr>
              <w:t xml:space="preserve"> </w:t>
            </w:r>
          </w:p>
        </w:tc>
        <w:tc>
          <w:tcPr>
            <w:tcW w:w="8363"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6" w:right="141"/>
              <w:jc w:val="both"/>
              <w:rPr>
                <w:sz w:val="28"/>
                <w:szCs w:val="28"/>
              </w:rPr>
            </w:pPr>
            <w:r w:rsidRPr="0015655E">
              <w:rPr>
                <w:sz w:val="28"/>
                <w:szCs w:val="28"/>
              </w:rPr>
              <w:t>Предупреждение читателю о том, что:</w:t>
            </w:r>
          </w:p>
          <w:p w:rsidR="008C0D64" w:rsidRPr="0015655E" w:rsidRDefault="008C0D64" w:rsidP="00B24149">
            <w:pPr>
              <w:pStyle w:val="Heading1"/>
              <w:ind w:left="96" w:right="141"/>
              <w:jc w:val="both"/>
              <w:rPr>
                <w:sz w:val="28"/>
                <w:szCs w:val="28"/>
              </w:rPr>
            </w:pPr>
            <w:r>
              <w:rPr>
                <w:sz w:val="28"/>
                <w:szCs w:val="28"/>
                <w:lang w:val="ro-RO"/>
              </w:rPr>
              <w:t>a)</w:t>
            </w:r>
            <w:r w:rsidRPr="0015655E">
              <w:rPr>
                <w:sz w:val="28"/>
                <w:szCs w:val="28"/>
              </w:rPr>
              <w:t xml:space="preserve">  [данное] резюме читается как введение в проспект;</w:t>
            </w:r>
          </w:p>
          <w:p w:rsidR="008C0D64" w:rsidRPr="0015655E" w:rsidRDefault="008C0D64" w:rsidP="00B24149">
            <w:pPr>
              <w:pStyle w:val="Heading1"/>
              <w:ind w:left="96" w:right="141"/>
              <w:jc w:val="both"/>
              <w:rPr>
                <w:sz w:val="28"/>
                <w:szCs w:val="28"/>
              </w:rPr>
            </w:pPr>
            <w:r w:rsidRPr="0015655E">
              <w:rPr>
                <w:sz w:val="28"/>
                <w:szCs w:val="28"/>
              </w:rPr>
              <w:t>любое решение об инвестировании в соответствующие ценные бумаги должно основываться на исчерпывающем рассмотрении проспекта инвестором;</w:t>
            </w:r>
          </w:p>
          <w:p w:rsidR="008C0D64" w:rsidRPr="0015655E" w:rsidRDefault="008C0D64" w:rsidP="00B24149">
            <w:pPr>
              <w:pStyle w:val="Heading1"/>
              <w:ind w:left="96" w:right="141"/>
              <w:jc w:val="both"/>
              <w:rPr>
                <w:sz w:val="28"/>
                <w:szCs w:val="28"/>
              </w:rPr>
            </w:pPr>
            <w:r>
              <w:rPr>
                <w:sz w:val="28"/>
                <w:szCs w:val="28"/>
                <w:lang w:val="ro-RO"/>
              </w:rPr>
              <w:t>b)</w:t>
            </w:r>
            <w:r w:rsidRPr="0015655E">
              <w:rPr>
                <w:sz w:val="28"/>
                <w:szCs w:val="28"/>
              </w:rPr>
              <w:t>в случае возбуждения процесса в судебной инстанции в отношении содержащейся в проспекте информации, возможно, что инвестор истец, в соответствии с внутренним законодательством стран членов, должен будет покрыть расходы на перевод проспекта до начала судебной процедуры; и</w:t>
            </w:r>
          </w:p>
          <w:p w:rsidR="008C0D64" w:rsidRPr="0015655E" w:rsidRDefault="008C0D64" w:rsidP="00B24149">
            <w:pPr>
              <w:pStyle w:val="Heading1"/>
              <w:ind w:left="96" w:right="141"/>
              <w:jc w:val="both"/>
              <w:rPr>
                <w:sz w:val="28"/>
                <w:szCs w:val="28"/>
              </w:rPr>
            </w:pPr>
            <w:r>
              <w:rPr>
                <w:sz w:val="28"/>
                <w:szCs w:val="28"/>
                <w:lang w:val="ro-RO"/>
              </w:rPr>
              <w:t>c)</w:t>
            </w:r>
            <w:r w:rsidRPr="0015655E">
              <w:rPr>
                <w:sz w:val="28"/>
                <w:szCs w:val="28"/>
              </w:rPr>
              <w:t xml:space="preserve">гражданскую ответственность несут только лица которые представили резюме, а также, в зависимости от случая, и его </w:t>
            </w:r>
            <w:r w:rsidRPr="0015655E">
              <w:rPr>
                <w:sz w:val="28"/>
                <w:szCs w:val="28"/>
              </w:rPr>
              <w:lastRenderedPageBreak/>
              <w:t>перевод, и только если оно является неверным, неточным или противоречивым по отношению к остальным частям проспекта, или если оно не предоставляет, по отношению к остальным частям проспекта, существенную информацию для оказания помощи инвесторам принять решение об инвестировании в такие ценные бумаги.</w:t>
            </w:r>
          </w:p>
        </w:tc>
      </w:tr>
      <w:tr w:rsidR="008C0D64" w:rsidRPr="0015655E" w:rsidTr="00B24149">
        <w:trPr>
          <w:tblCellSpacing w:w="0" w:type="dxa"/>
        </w:trPr>
        <w:tc>
          <w:tcPr>
            <w:tcW w:w="89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right="141"/>
              <w:rPr>
                <w:sz w:val="28"/>
                <w:szCs w:val="28"/>
                <w:lang w:val="ru-RU"/>
              </w:rPr>
            </w:pPr>
            <w:r w:rsidRPr="0015655E">
              <w:rPr>
                <w:rStyle w:val="boldface"/>
                <w:sz w:val="28"/>
                <w:szCs w:val="28"/>
                <w:lang w:val="ru-RU"/>
              </w:rPr>
              <w:lastRenderedPageBreak/>
              <w:t>Все</w:t>
            </w:r>
            <w:r w:rsidRPr="0015655E">
              <w:rPr>
                <w:sz w:val="28"/>
                <w:szCs w:val="28"/>
                <w:lang w:val="ru-RU"/>
              </w:rPr>
              <w:t xml:space="preserve"> </w:t>
            </w:r>
          </w:p>
        </w:tc>
        <w:tc>
          <w:tcPr>
            <w:tcW w:w="123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right="141"/>
              <w:rPr>
                <w:sz w:val="28"/>
                <w:szCs w:val="28"/>
                <w:lang w:val="ru-RU"/>
              </w:rPr>
            </w:pPr>
            <w:r w:rsidRPr="0015655E">
              <w:rPr>
                <w:rStyle w:val="boldface"/>
                <w:sz w:val="28"/>
                <w:szCs w:val="28"/>
                <w:lang w:val="ru-RU"/>
              </w:rPr>
              <w:t>A.2</w:t>
            </w:r>
            <w:r w:rsidRPr="0015655E">
              <w:rPr>
                <w:sz w:val="28"/>
                <w:szCs w:val="28"/>
                <w:lang w:val="ru-RU"/>
              </w:rPr>
              <w:t xml:space="preserve"> </w:t>
            </w:r>
          </w:p>
        </w:tc>
        <w:tc>
          <w:tcPr>
            <w:tcW w:w="8363"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96" w:right="141"/>
              <w:jc w:val="both"/>
              <w:rPr>
                <w:sz w:val="28"/>
                <w:szCs w:val="28"/>
                <w:lang w:val="ru-RU" w:eastAsia="ru-RU"/>
              </w:rPr>
            </w:pPr>
            <w:r w:rsidRPr="0015655E">
              <w:rPr>
                <w:sz w:val="28"/>
                <w:szCs w:val="28"/>
                <w:lang w:val="ru-RU" w:eastAsia="ru-RU"/>
              </w:rPr>
              <w:t>Согласие эмитента или лица, уполномоченного составить проспект, на использование проспекта для дальнейшей перепродажи или окончательного размещения ценных бумаг финансовыми посредниками.</w:t>
            </w:r>
          </w:p>
          <w:p w:rsidR="008C0D64" w:rsidRPr="0015655E" w:rsidRDefault="008C0D64" w:rsidP="00B24149">
            <w:pPr>
              <w:pStyle w:val="tbl-norm"/>
              <w:spacing w:before="0" w:beforeAutospacing="0" w:after="0" w:afterAutospacing="0"/>
              <w:ind w:left="96" w:right="141"/>
              <w:jc w:val="both"/>
              <w:rPr>
                <w:sz w:val="28"/>
                <w:szCs w:val="28"/>
                <w:lang w:val="ru-RU" w:eastAsia="ru-RU"/>
              </w:rPr>
            </w:pPr>
            <w:r w:rsidRPr="0015655E">
              <w:rPr>
                <w:sz w:val="28"/>
                <w:szCs w:val="28"/>
                <w:lang w:val="ru-RU" w:eastAsia="ru-RU"/>
              </w:rPr>
              <w:t>Указать период предложения, в котором может быть осуществлена последующая перепродажа или окончательное размещение ценных бумаг через финансовых посредников  и на протяжении которого действительно согласие на использование проспекта.</w:t>
            </w:r>
          </w:p>
          <w:p w:rsidR="008C0D64" w:rsidRPr="0015655E" w:rsidRDefault="008C0D64" w:rsidP="00B24149">
            <w:pPr>
              <w:pStyle w:val="tbl-norm"/>
              <w:spacing w:before="0" w:beforeAutospacing="0" w:after="0" w:afterAutospacing="0"/>
              <w:ind w:left="96" w:right="141"/>
              <w:jc w:val="both"/>
              <w:rPr>
                <w:sz w:val="28"/>
                <w:szCs w:val="28"/>
                <w:lang w:val="ru-RU" w:eastAsia="ru-RU"/>
              </w:rPr>
            </w:pPr>
            <w:r w:rsidRPr="0015655E">
              <w:rPr>
                <w:sz w:val="28"/>
                <w:szCs w:val="28"/>
                <w:lang w:val="ru-RU" w:eastAsia="ru-RU"/>
              </w:rPr>
              <w:t>Любые другие четкие и объективные условия, связанные с согласием, релевантные для использования проспекта.</w:t>
            </w:r>
          </w:p>
          <w:p w:rsidR="008C0D64" w:rsidRPr="0015655E" w:rsidRDefault="008C0D64" w:rsidP="00B24149">
            <w:pPr>
              <w:pStyle w:val="tbl-norm"/>
              <w:spacing w:before="0" w:beforeAutospacing="0" w:after="0" w:afterAutospacing="0"/>
              <w:ind w:left="96" w:right="141"/>
              <w:jc w:val="both"/>
              <w:rPr>
                <w:sz w:val="28"/>
                <w:szCs w:val="28"/>
                <w:lang w:val="ru-RU"/>
              </w:rPr>
            </w:pPr>
            <w:r w:rsidRPr="0015655E">
              <w:rPr>
                <w:sz w:val="28"/>
                <w:szCs w:val="28"/>
                <w:lang w:val="ru-RU" w:eastAsia="ru-RU"/>
              </w:rPr>
              <w:t>Отметка жирным шрифтом, уведомляющая инвесторов о том, что:</w:t>
            </w:r>
            <w:r w:rsidRPr="0015655E">
              <w:rPr>
                <w:sz w:val="28"/>
                <w:szCs w:val="28"/>
                <w:lang w:val="ru-RU"/>
              </w:rPr>
              <w:t xml:space="preserve"> </w:t>
            </w:r>
          </w:p>
          <w:p w:rsidR="008C0D64" w:rsidRPr="0015655E" w:rsidRDefault="008C0D64" w:rsidP="00B24149">
            <w:pPr>
              <w:pStyle w:val="tbl-norm"/>
              <w:spacing w:before="0" w:beforeAutospacing="0" w:after="0" w:afterAutospacing="0"/>
              <w:ind w:left="96" w:right="141"/>
              <w:jc w:val="both"/>
              <w:rPr>
                <w:b/>
                <w:sz w:val="28"/>
                <w:szCs w:val="28"/>
                <w:lang w:val="ru-RU"/>
              </w:rPr>
            </w:pPr>
            <w:r w:rsidRPr="0015655E">
              <w:rPr>
                <w:b/>
                <w:sz w:val="28"/>
                <w:szCs w:val="28"/>
                <w:lang w:val="ru-RU"/>
              </w:rPr>
              <w:t>”информация об условиях предложения, осуществляемого финансовым посредником, будет предоставлена в момент осуществления предложения финансовым посредником</w:t>
            </w:r>
            <w:proofErr w:type="gramStart"/>
            <w:r w:rsidRPr="0015655E">
              <w:rPr>
                <w:b/>
                <w:sz w:val="28"/>
                <w:szCs w:val="28"/>
                <w:lang w:val="ru-RU"/>
              </w:rPr>
              <w:t>.”</w:t>
            </w:r>
            <w:proofErr w:type="gramEnd"/>
          </w:p>
        </w:tc>
      </w:tr>
    </w:tbl>
    <w:p w:rsidR="008C0D64" w:rsidRPr="0015655E" w:rsidRDefault="008C0D64" w:rsidP="008C0D64">
      <w:pPr>
        <w:pStyle w:val="norm"/>
        <w:rPr>
          <w:b/>
          <w:sz w:val="28"/>
          <w:szCs w:val="28"/>
        </w:rPr>
      </w:pPr>
      <w:r w:rsidRPr="0015655E">
        <w:rPr>
          <w:rStyle w:val="italics"/>
          <w:b/>
          <w:sz w:val="28"/>
          <w:szCs w:val="28"/>
        </w:rPr>
        <w:t>Раздел B</w:t>
      </w:r>
      <w:r w:rsidRPr="0015655E">
        <w:rPr>
          <w:b/>
          <w:sz w:val="28"/>
          <w:szCs w:val="28"/>
        </w:rPr>
        <w:t>  - Эмитент и возможные гаранты</w:t>
      </w:r>
    </w:p>
    <w:tbl>
      <w:tblPr>
        <w:tblW w:w="10490"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1255"/>
        <w:gridCol w:w="7511"/>
      </w:tblGrid>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bCs/>
                <w:sz w:val="28"/>
                <w:szCs w:val="28"/>
                <w:lang w:val="ru-RU"/>
              </w:rPr>
            </w:pPr>
            <w:r w:rsidRPr="0015655E">
              <w:rPr>
                <w:b/>
                <w:bCs/>
                <w:sz w:val="28"/>
                <w:szCs w:val="28"/>
                <w:lang w:val="ru-RU"/>
              </w:rPr>
              <w:t>Приложения</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bCs/>
                <w:sz w:val="28"/>
                <w:szCs w:val="28"/>
                <w:lang w:val="ru-RU"/>
              </w:rPr>
            </w:pPr>
            <w:r w:rsidRPr="0015655E">
              <w:rPr>
                <w:b/>
                <w:bCs/>
                <w:sz w:val="28"/>
                <w:szCs w:val="28"/>
                <w:lang w:val="ru-RU"/>
              </w:rPr>
              <w:t>Элемент</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bCs/>
                <w:sz w:val="28"/>
                <w:szCs w:val="28"/>
                <w:lang w:val="ru-RU"/>
              </w:rPr>
            </w:pPr>
            <w:r w:rsidRPr="0015655E">
              <w:rPr>
                <w:b/>
                <w:bCs/>
                <w:sz w:val="28"/>
                <w:szCs w:val="28"/>
                <w:lang w:val="ru-RU"/>
              </w:rPr>
              <w:t>Требование к рекламе</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15</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12</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Полное и сокращенное наименование эмитента.</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Default="008C0D64" w:rsidP="00B24149">
            <w:pPr>
              <w:pStyle w:val="tbl-left"/>
              <w:spacing w:before="0" w:beforeAutospacing="0" w:after="0" w:afterAutospacing="0"/>
              <w:rPr>
                <w:sz w:val="28"/>
                <w:szCs w:val="28"/>
              </w:rPr>
            </w:pPr>
            <w:r w:rsidRPr="0015655E">
              <w:rPr>
                <w:sz w:val="28"/>
                <w:szCs w:val="28"/>
                <w:lang w:val="ru-RU"/>
              </w:rPr>
              <w:t>7</w:t>
            </w:r>
            <w:r>
              <w:rPr>
                <w:sz w:val="28"/>
                <w:szCs w:val="28"/>
                <w:lang w:val="ru-RU"/>
              </w:rPr>
              <w:t xml:space="preserve">, </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15</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12</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B.2</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Адрес и юридическая форма эмитента, законодательство, на основании которого осуществляет деятельность эмитент, и страна, в которой он был учрежден.</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 xml:space="preserve">7   </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B.3</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 xml:space="preserve">Описание характера текущих действий эмитента и его главной деятельности, в том числе связанных с ней ключевых факторов, с указанием главных категорий проданных продуктов и/или оказанных услуг и идентификацией главных рынков сбыта, на которых </w:t>
            </w:r>
            <w:r w:rsidRPr="0015655E">
              <w:rPr>
                <w:sz w:val="28"/>
                <w:szCs w:val="28"/>
                <w:lang w:val="ru-RU"/>
              </w:rPr>
              <w:lastRenderedPageBreak/>
              <w:t>конкурирует эмитент.</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lastRenderedPageBreak/>
              <w:t xml:space="preserve">7  </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B.4a</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наиболее существенных последних тенденций, которые влияют на эмитента и на отрасль в рамках которого он осуществляет деятельность.</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10,19</w:t>
            </w:r>
          </w:p>
          <w:p w:rsidR="008C0D64" w:rsidRPr="0015655E" w:rsidRDefault="008C0D64" w:rsidP="00B24149">
            <w:pPr>
              <w:pStyle w:val="tbl-left"/>
              <w:spacing w:before="0" w:beforeAutospacing="0" w:after="0" w:afterAutospacing="0"/>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B.4b</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любых известных тенденций, которые влияют на эмитента и на отрасль в рамках которого он осуществляет деятельность.</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7,10,12,19</w:t>
            </w:r>
          </w:p>
          <w:p w:rsidR="008C0D64" w:rsidRPr="0015655E" w:rsidRDefault="008C0D64" w:rsidP="00B24149">
            <w:pPr>
              <w:pStyle w:val="tbl-left"/>
              <w:spacing w:before="0" w:beforeAutospacing="0" w:after="0" w:afterAutospacing="0"/>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B.5</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Если эмитент является частью группы – описание группы и позиции эмитента в рамках группы.</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w:t>
            </w:r>
          </w:p>
          <w:p w:rsidR="008C0D64" w:rsidRPr="0015655E" w:rsidRDefault="008C0D64" w:rsidP="00B24149">
            <w:pPr>
              <w:pStyle w:val="tbl-right"/>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B.6</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73" w:right="97"/>
              <w:jc w:val="both"/>
              <w:rPr>
                <w:sz w:val="28"/>
                <w:szCs w:val="28"/>
                <w:lang w:val="ru-RU"/>
              </w:rPr>
            </w:pPr>
            <w:r>
              <w:rPr>
                <w:sz w:val="28"/>
                <w:szCs w:val="28"/>
                <w:lang w:val="ro-RO"/>
              </w:rPr>
              <w:t>a)</w:t>
            </w:r>
            <w:r w:rsidRPr="0015655E">
              <w:rPr>
                <w:sz w:val="28"/>
                <w:szCs w:val="28"/>
                <w:lang w:val="ru-RU"/>
              </w:rPr>
              <w:t xml:space="preserve"> Фамилия любого лица, которое прямо или косвенно владеет участиями в капитале эмитента или правами голоса, которого необходимо указать в соответствии с законодательством, а также стоимость участия такого лица.</w:t>
            </w:r>
          </w:p>
          <w:p w:rsidR="008C0D64" w:rsidRPr="0015655E" w:rsidRDefault="008C0D64" w:rsidP="00B24149">
            <w:pPr>
              <w:pStyle w:val="tbl-norm"/>
              <w:spacing w:before="0" w:beforeAutospacing="0" w:after="0" w:afterAutospacing="0"/>
              <w:ind w:left="73" w:right="97"/>
              <w:jc w:val="both"/>
              <w:rPr>
                <w:sz w:val="28"/>
                <w:szCs w:val="28"/>
                <w:lang w:val="ru-RU"/>
              </w:rPr>
            </w:pPr>
            <w:r>
              <w:rPr>
                <w:sz w:val="28"/>
                <w:szCs w:val="28"/>
                <w:lang w:val="ro-RO"/>
              </w:rPr>
              <w:t>b)</w:t>
            </w:r>
            <w:r w:rsidRPr="0015655E">
              <w:rPr>
                <w:sz w:val="28"/>
                <w:szCs w:val="28"/>
                <w:lang w:val="ru-RU"/>
              </w:rPr>
              <w:t xml:space="preserve"> Отметка о том, если мажоритарные акционеры эмитента имеют различные права голоса, в случае если они владеют правом голоса.</w:t>
            </w:r>
          </w:p>
          <w:p w:rsidR="008C0D64" w:rsidRPr="0015655E" w:rsidRDefault="008C0D64" w:rsidP="00B24149">
            <w:pPr>
              <w:pStyle w:val="tbl-norm"/>
              <w:spacing w:before="0" w:beforeAutospacing="0" w:after="0" w:afterAutospacing="0"/>
              <w:ind w:left="73" w:right="97"/>
              <w:jc w:val="both"/>
              <w:rPr>
                <w:sz w:val="28"/>
                <w:szCs w:val="28"/>
                <w:lang w:val="ru-RU"/>
              </w:rPr>
            </w:pPr>
            <w:r>
              <w:rPr>
                <w:sz w:val="28"/>
                <w:szCs w:val="28"/>
                <w:lang w:val="ro-RO"/>
              </w:rPr>
              <w:t>c)</w:t>
            </w:r>
            <w:r w:rsidRPr="0015655E">
              <w:rPr>
                <w:sz w:val="28"/>
                <w:szCs w:val="28"/>
                <w:lang w:val="ru-RU"/>
              </w:rPr>
              <w:t xml:space="preserve"> В зависимости от того в какой мере данная информация известна эмитенту, уточнить если эмитент находится, прямо или косвенно, во владении или под контролем, и кого, а также описать характер контроля.</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B.7</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73" w:right="97"/>
              <w:jc w:val="both"/>
              <w:rPr>
                <w:sz w:val="28"/>
                <w:szCs w:val="28"/>
              </w:rPr>
            </w:pPr>
            <w:r w:rsidRPr="0015655E">
              <w:rPr>
                <w:sz w:val="28"/>
                <w:szCs w:val="28"/>
              </w:rPr>
              <w:t xml:space="preserve">Основная историческая финансовая информация об эмитенте, представленная за каждый финансовый год из периода, покрытого исторической финансовой информацией, и  любого последующего промежуточного финансового периода, сопровожденная сопоставительными данными за тот же период предыдущего финансового года, за исключением </w:t>
            </w:r>
            <w:proofErr w:type="gramStart"/>
            <w:r w:rsidRPr="0015655E">
              <w:rPr>
                <w:sz w:val="28"/>
                <w:szCs w:val="28"/>
              </w:rPr>
              <w:t>случая</w:t>
            </w:r>
            <w:proofErr w:type="gramEnd"/>
            <w:r w:rsidRPr="0015655E">
              <w:rPr>
                <w:sz w:val="28"/>
                <w:szCs w:val="28"/>
              </w:rPr>
              <w:t xml:space="preserve"> если требование о сравнительной балансовой информации выполняется представлением, по меньшей мере, информации из годовых финансовых отчетов.</w:t>
            </w:r>
          </w:p>
          <w:p w:rsidR="008C0D64" w:rsidRPr="0015655E" w:rsidRDefault="008C0D64" w:rsidP="00B24149">
            <w:pPr>
              <w:pStyle w:val="Heading1"/>
              <w:ind w:left="73" w:right="97"/>
              <w:jc w:val="both"/>
              <w:rPr>
                <w:sz w:val="28"/>
                <w:szCs w:val="28"/>
              </w:rPr>
            </w:pPr>
            <w:r w:rsidRPr="0015655E">
              <w:rPr>
                <w:sz w:val="28"/>
                <w:szCs w:val="28"/>
              </w:rPr>
              <w:t>Данная информация должна быть сопровождена повествовательным описанием существенного изменения финансового положения эмитента и доходов, полученных от его эксплуатации во время или после периода, покрытого основной исторической финансовой информацией.</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7,10,12,19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B.8</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При составлении прогнозов или оценки прибыли, уточнить цифру.</w:t>
            </w:r>
          </w:p>
        </w:tc>
      </w:tr>
      <w:tr w:rsidR="008C0D64" w:rsidRPr="0015655E" w:rsidTr="00B24149">
        <w:trPr>
          <w:trHeight w:val="470"/>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7,10,12,19</w:t>
            </w:r>
          </w:p>
          <w:p w:rsidR="008C0D64" w:rsidRPr="0015655E" w:rsidRDefault="008C0D64" w:rsidP="00B24149">
            <w:pPr>
              <w:pStyle w:val="tbl-left"/>
              <w:spacing w:before="0" w:beforeAutospacing="0" w:after="0" w:afterAutospacing="0"/>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B.9</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характера всех резервов аудиторского отчета относительно исторической финансовой информации.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lastRenderedPageBreak/>
              <w:t>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B.10</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Если оборотный капитал эмитента не является достаточным для текущих требований эмитента, необходимо включить объяснение.</w:t>
            </w:r>
          </w:p>
        </w:tc>
      </w:tr>
      <w:tr w:rsidR="008C0D64" w:rsidRPr="0015655E" w:rsidTr="00B24149">
        <w:trPr>
          <w:trHeight w:val="241"/>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12</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B.11</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73" w:right="97"/>
              <w:jc w:val="both"/>
              <w:rPr>
                <w:sz w:val="28"/>
                <w:szCs w:val="28"/>
              </w:rPr>
            </w:pPr>
            <w:r w:rsidRPr="0015655E">
              <w:rPr>
                <w:rStyle w:val="boldface"/>
                <w:sz w:val="28"/>
                <w:szCs w:val="28"/>
              </w:rPr>
              <w:t>Используется только первый параграф из B.7 и дополнительно:</w:t>
            </w:r>
            <w:r w:rsidRPr="0015655E">
              <w:rPr>
                <w:sz w:val="28"/>
                <w:szCs w:val="28"/>
              </w:rPr>
              <w:t xml:space="preserve"> </w:t>
            </w:r>
          </w:p>
          <w:p w:rsidR="008C0D64" w:rsidRPr="0015655E" w:rsidRDefault="008C0D64" w:rsidP="00B24149">
            <w:pPr>
              <w:pStyle w:val="Heading1"/>
              <w:ind w:left="73" w:right="97"/>
              <w:jc w:val="both"/>
              <w:rPr>
                <w:sz w:val="28"/>
                <w:szCs w:val="28"/>
              </w:rPr>
            </w:pPr>
            <w:r>
              <w:rPr>
                <w:sz w:val="28"/>
                <w:szCs w:val="28"/>
                <w:lang w:val="ro-RO"/>
              </w:rPr>
              <w:t>a)</w:t>
            </w:r>
            <w:r w:rsidRPr="0015655E">
              <w:rPr>
                <w:sz w:val="28"/>
                <w:szCs w:val="28"/>
              </w:rPr>
              <w:t xml:space="preserve"> Декларация, подтверждающая, что перспективы эмитента не потерпели существенных изменений с даты его последнего подвергнутого аудиту и опубликованного финансового отчета или описание любых существенных неблагоприятных  изменений.</w:t>
            </w:r>
          </w:p>
          <w:p w:rsidR="008C0D64" w:rsidRPr="0015655E" w:rsidRDefault="008C0D64" w:rsidP="00B24149">
            <w:pPr>
              <w:pStyle w:val="Heading1"/>
              <w:ind w:left="73" w:right="97"/>
              <w:jc w:val="both"/>
              <w:rPr>
                <w:sz w:val="28"/>
                <w:szCs w:val="28"/>
              </w:rPr>
            </w:pPr>
            <w:r>
              <w:rPr>
                <w:sz w:val="28"/>
                <w:szCs w:val="28"/>
                <w:lang w:val="ro-RO"/>
              </w:rPr>
              <w:t>b)</w:t>
            </w:r>
            <w:r w:rsidRPr="0015655E">
              <w:rPr>
                <w:sz w:val="28"/>
                <w:szCs w:val="28"/>
              </w:rPr>
              <w:t> Описание главных изменений финансовой или коммерческой ситуации после периода, покрытого исторической финансовой информацией.</w:t>
            </w:r>
          </w:p>
          <w:p w:rsidR="008C0D64" w:rsidRPr="0015655E" w:rsidRDefault="008C0D64" w:rsidP="00B24149"/>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10,12,19</w:t>
            </w:r>
          </w:p>
          <w:p w:rsidR="008C0D64" w:rsidRPr="0015655E" w:rsidRDefault="008C0D64" w:rsidP="00B24149">
            <w:pPr>
              <w:pStyle w:val="tbl-left"/>
              <w:spacing w:before="0" w:beforeAutospacing="0" w:after="0" w:afterAutospacing="0"/>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B.12</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важных событий в недавнем развитии эмитента, которые, в значительной мере, являются релевантными для оценки его платежеспособности.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10,12,</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B.13</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73" w:right="97"/>
              <w:jc w:val="both"/>
              <w:rPr>
                <w:sz w:val="28"/>
                <w:szCs w:val="28"/>
                <w:lang w:val="ru-RU"/>
              </w:rPr>
            </w:pPr>
            <w:r w:rsidRPr="0015655E">
              <w:rPr>
                <w:rStyle w:val="boldface"/>
                <w:sz w:val="28"/>
                <w:szCs w:val="28"/>
                <w:lang w:val="ru-RU"/>
              </w:rPr>
              <w:t>B.5  и дополнительно:</w:t>
            </w:r>
            <w:r w:rsidRPr="0015655E">
              <w:rPr>
                <w:sz w:val="28"/>
                <w:szCs w:val="28"/>
                <w:lang w:val="ru-RU"/>
              </w:rPr>
              <w:t xml:space="preserve"> </w:t>
            </w:r>
          </w:p>
          <w:p w:rsidR="008C0D64" w:rsidRPr="0015655E" w:rsidRDefault="008C0D64" w:rsidP="00B24149">
            <w:pPr>
              <w:pStyle w:val="tbl-norm"/>
              <w:spacing w:before="0" w:beforeAutospacing="0" w:after="0" w:afterAutospacing="0"/>
              <w:ind w:left="73" w:right="97"/>
              <w:jc w:val="both"/>
              <w:rPr>
                <w:sz w:val="28"/>
                <w:szCs w:val="28"/>
                <w:lang w:val="ru-RU"/>
              </w:rPr>
            </w:pPr>
            <w:r w:rsidRPr="0015655E">
              <w:rPr>
                <w:sz w:val="28"/>
                <w:szCs w:val="28"/>
                <w:lang w:val="ru-RU"/>
              </w:rPr>
              <w:t>Если эмитент зависим от других обществ в рамках группы, данный факт необходимо четко уточнить.</w:t>
            </w:r>
          </w:p>
        </w:tc>
      </w:tr>
      <w:tr w:rsidR="008C0D64" w:rsidRPr="0015655E" w:rsidTr="00B24149">
        <w:trPr>
          <w:trHeight w:val="290"/>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10,12,19</w:t>
            </w:r>
          </w:p>
          <w:p w:rsidR="008C0D64" w:rsidRPr="0015655E" w:rsidRDefault="008C0D64" w:rsidP="00B24149">
            <w:pPr>
              <w:pStyle w:val="tbl-left"/>
              <w:spacing w:before="0" w:beforeAutospacing="0" w:after="0" w:afterAutospacing="0"/>
              <w:rPr>
                <w:sz w:val="28"/>
                <w:szCs w:val="28"/>
                <w:lang w:val="ru-RU"/>
              </w:rPr>
            </w:pP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B.14</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главной деятельности эмитента.</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10</w:t>
            </w:r>
            <w:r>
              <w:rPr>
                <w:sz w:val="28"/>
                <w:szCs w:val="28"/>
                <w:lang w:val="ru-RU"/>
              </w:rPr>
              <w:t>,</w:t>
            </w:r>
          </w:p>
          <w:p w:rsidR="008C0D64" w:rsidRDefault="008C0D64" w:rsidP="00B24149">
            <w:pPr>
              <w:pStyle w:val="tbl-left"/>
              <w:spacing w:before="0" w:beforeAutospacing="0" w:after="0" w:afterAutospacing="0"/>
              <w:rPr>
                <w:sz w:val="28"/>
                <w:szCs w:val="28"/>
                <w:lang w:val="ru-RU"/>
              </w:rPr>
            </w:pPr>
            <w:r w:rsidRPr="0015655E">
              <w:rPr>
                <w:sz w:val="28"/>
                <w:szCs w:val="28"/>
                <w:lang w:val="ru-RU"/>
              </w:rPr>
              <w:t xml:space="preserve">12, </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15</w:t>
            </w:r>
            <w:r>
              <w:rPr>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19</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B.15</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left="73" w:right="97"/>
              <w:rPr>
                <w:sz w:val="28"/>
                <w:szCs w:val="28"/>
                <w:lang w:val="ru-RU"/>
              </w:rPr>
            </w:pPr>
            <w:r w:rsidRPr="0015655E">
              <w:rPr>
                <w:rStyle w:val="boldface"/>
                <w:sz w:val="28"/>
                <w:szCs w:val="28"/>
                <w:lang w:val="ru-RU"/>
              </w:rPr>
              <w:t>Используется только последний параграф из B.6</w:t>
            </w:r>
            <w:r w:rsidRPr="0015655E">
              <w:rPr>
                <w:sz w:val="28"/>
                <w:szCs w:val="28"/>
                <w:lang w:val="ru-RU"/>
              </w:rPr>
              <w:t xml:space="preserve"> </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rStyle w:val="boldface"/>
                <w:sz w:val="28"/>
                <w:szCs w:val="28"/>
                <w:lang w:val="ru-RU"/>
              </w:rPr>
            </w:pPr>
            <w:r w:rsidRPr="0015655E">
              <w:rPr>
                <w:rStyle w:val="boldface"/>
                <w:sz w:val="28"/>
                <w:szCs w:val="28"/>
                <w:lang w:val="ru-RU"/>
              </w:rPr>
              <w:t>11</w:t>
            </w:r>
            <w:r>
              <w:rPr>
                <w:rStyle w:val="boldface"/>
                <w:sz w:val="28"/>
                <w:szCs w:val="28"/>
                <w:lang w:val="ru-RU"/>
              </w:rPr>
              <w:t>,</w:t>
            </w:r>
          </w:p>
          <w:p w:rsidR="008C0D64" w:rsidRPr="0015655E" w:rsidRDefault="008C0D64" w:rsidP="00B24149">
            <w:pPr>
              <w:pStyle w:val="tbl-left"/>
              <w:spacing w:before="0" w:beforeAutospacing="0" w:after="0" w:afterAutospacing="0"/>
              <w:rPr>
                <w:sz w:val="28"/>
                <w:szCs w:val="28"/>
                <w:lang w:val="ru-RU"/>
              </w:rPr>
            </w:pPr>
            <w:r w:rsidRPr="0015655E">
              <w:rPr>
                <w:rStyle w:val="boldface"/>
                <w:sz w:val="28"/>
                <w:szCs w:val="28"/>
                <w:lang w:val="ru-RU"/>
              </w:rPr>
              <w:t>13</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B.16</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Рейтинг, присвоенный эмитенту или его заемным документам, по заявлению эмитента или при его сотрудничестве в процессе присвоения рейтинга.</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 xml:space="preserve">14  </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B.17</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характера и области применения гарантии.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14</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B.18</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 xml:space="preserve">В разделе B необходимо включить информацию о гаранте как будто он является эмитентом того же вида ценных бумаг, составляющих предмет гарантии. Таким образом, предоставляется та же </w:t>
            </w:r>
            <w:proofErr w:type="gramStart"/>
            <w:r w:rsidRPr="0015655E">
              <w:rPr>
                <w:sz w:val="28"/>
                <w:szCs w:val="28"/>
                <w:lang w:val="ru-RU"/>
              </w:rPr>
              <w:t>информация</w:t>
            </w:r>
            <w:proofErr w:type="gramEnd"/>
            <w:r w:rsidRPr="0015655E">
              <w:rPr>
                <w:sz w:val="28"/>
                <w:szCs w:val="28"/>
                <w:lang w:val="ru-RU"/>
              </w:rPr>
              <w:t xml:space="preserve"> как и для резюме по данному приложению.</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15</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B.19</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proofErr w:type="gramStart"/>
            <w:r w:rsidRPr="0015655E">
              <w:rPr>
                <w:sz w:val="28"/>
                <w:szCs w:val="28"/>
                <w:lang w:val="ru-RU"/>
              </w:rPr>
              <w:t>Декларация, указывающая если эмитент был</w:t>
            </w:r>
            <w:proofErr w:type="gramEnd"/>
            <w:r w:rsidRPr="0015655E">
              <w:rPr>
                <w:sz w:val="28"/>
                <w:szCs w:val="28"/>
                <w:lang w:val="ru-RU"/>
              </w:rPr>
              <w:t xml:space="preserve"> учрежден как структура или как общество, созданное специально для выпуска ценных бумаг обеспеченных активами.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15</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B.20</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 xml:space="preserve">Описание главной деятельности эмитента, в том числе </w:t>
            </w:r>
            <w:r w:rsidRPr="0015655E">
              <w:rPr>
                <w:sz w:val="28"/>
                <w:szCs w:val="28"/>
                <w:lang w:val="ru-RU"/>
              </w:rPr>
              <w:lastRenderedPageBreak/>
              <w:t xml:space="preserve">общие сведения о сторонах программы предложения, в особенности информация о том, если данные стороны, прямо или косвенно, связаны имуществом или контролем. </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lastRenderedPageBreak/>
              <w:t>15</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B.21</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Если эмитент не начал свою деятельность со дня своего создания или учреждения и не составил финансовые отчеты до даты документа регистрации – декларация, уточняющая данный факт.</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15</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B.22</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ind w:left="73" w:right="97"/>
              <w:rPr>
                <w:sz w:val="28"/>
                <w:szCs w:val="28"/>
                <w:lang w:val="ru-RU"/>
              </w:rPr>
            </w:pPr>
            <w:r w:rsidRPr="0015655E">
              <w:rPr>
                <w:rStyle w:val="boldface"/>
                <w:sz w:val="28"/>
                <w:szCs w:val="28"/>
                <w:lang w:val="ru-RU"/>
              </w:rPr>
              <w:t>Используется только первый параграф из B.7</w:t>
            </w:r>
            <w:r w:rsidRPr="0015655E">
              <w:rPr>
                <w:sz w:val="28"/>
                <w:szCs w:val="28"/>
                <w:lang w:val="ru-RU"/>
              </w:rPr>
              <w:t xml:space="preserve"> </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15</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B.23</w:t>
            </w:r>
            <w:r w:rsidRPr="0015655E">
              <w:rPr>
                <w:sz w:val="28"/>
                <w:szCs w:val="28"/>
                <w:lang w:val="ru-RU"/>
              </w:rPr>
              <w:t xml:space="preserve">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Описание, подтверждающее, что перспективы эмитента не потерпели существенное изменение с даты его последнего подвергнутого аудиту и опубликованного финансового отчета.</w:t>
            </w:r>
          </w:p>
        </w:tc>
      </w:tr>
      <w:tr w:rsidR="008C0D64" w:rsidRPr="0015655E" w:rsidTr="00B24149">
        <w:trPr>
          <w:trHeight w:val="265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B.24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73" w:right="97"/>
              <w:jc w:val="both"/>
              <w:rPr>
                <w:sz w:val="28"/>
                <w:szCs w:val="28"/>
              </w:rPr>
            </w:pPr>
            <w:r w:rsidRPr="0015655E">
              <w:rPr>
                <w:sz w:val="28"/>
                <w:szCs w:val="28"/>
              </w:rPr>
              <w:t>Описание соответствующих активов, которое должно содержать:</w:t>
            </w:r>
          </w:p>
          <w:p w:rsidR="008C0D64" w:rsidRPr="0015655E" w:rsidRDefault="008C0D64" w:rsidP="00B24149">
            <w:pPr>
              <w:pStyle w:val="Heading1"/>
              <w:ind w:left="73" w:right="97"/>
              <w:jc w:val="both"/>
              <w:rPr>
                <w:sz w:val="28"/>
                <w:szCs w:val="28"/>
              </w:rPr>
            </w:pPr>
            <w:r>
              <w:rPr>
                <w:sz w:val="28"/>
                <w:szCs w:val="28"/>
                <w:lang w:val="ro-RO"/>
              </w:rPr>
              <w:t>a)</w:t>
            </w:r>
            <w:r w:rsidRPr="0015655E">
              <w:rPr>
                <w:sz w:val="28"/>
                <w:szCs w:val="28"/>
              </w:rPr>
              <w:t>подтверждение того, что благодаря своим характеристикам, соответствующие активы (служившие источниками гарантии) имеют способность генерировать необходимые финансовые потоки для покрытия задолженных взыскиваемых выплат по выпущенным ценным бумагам в рамках программы предложения;</w:t>
            </w:r>
          </w:p>
          <w:p w:rsidR="008C0D64" w:rsidRPr="0015655E" w:rsidRDefault="008C0D64" w:rsidP="00B24149">
            <w:pPr>
              <w:pStyle w:val="Heading1"/>
              <w:ind w:left="73" w:right="97"/>
              <w:jc w:val="both"/>
              <w:rPr>
                <w:sz w:val="28"/>
                <w:szCs w:val="28"/>
              </w:rPr>
            </w:pPr>
            <w:r>
              <w:rPr>
                <w:sz w:val="28"/>
                <w:szCs w:val="28"/>
                <w:lang w:val="ro-RO"/>
              </w:rPr>
              <w:t>b)</w:t>
            </w:r>
            <w:r w:rsidRPr="0015655E">
              <w:rPr>
                <w:sz w:val="28"/>
                <w:szCs w:val="28"/>
              </w:rPr>
              <w:t xml:space="preserve"> описание общих характеристик дебиторов, а в случае небольшого количества легко идентифицируемых дебиторов – общее описание каждого дебитора;</w:t>
            </w:r>
          </w:p>
          <w:p w:rsidR="008C0D64" w:rsidRPr="0015655E" w:rsidRDefault="008C0D64" w:rsidP="00B24149">
            <w:pPr>
              <w:pStyle w:val="Heading1"/>
              <w:ind w:left="73" w:right="97"/>
              <w:jc w:val="both"/>
              <w:rPr>
                <w:sz w:val="28"/>
                <w:szCs w:val="28"/>
              </w:rPr>
            </w:pPr>
            <w:r>
              <w:rPr>
                <w:sz w:val="28"/>
                <w:szCs w:val="28"/>
                <w:lang w:val="ro-RO"/>
              </w:rPr>
              <w:t>c)</w:t>
            </w:r>
            <w:r w:rsidRPr="0015655E">
              <w:rPr>
                <w:sz w:val="28"/>
                <w:szCs w:val="28"/>
              </w:rPr>
              <w:t xml:space="preserve">  описание правового характера активов;</w:t>
            </w:r>
          </w:p>
          <w:p w:rsidR="008C0D64" w:rsidRPr="0015655E" w:rsidRDefault="008C0D64" w:rsidP="00B24149">
            <w:pPr>
              <w:pStyle w:val="Heading1"/>
              <w:ind w:left="73" w:right="97"/>
              <w:jc w:val="both"/>
              <w:rPr>
                <w:sz w:val="28"/>
                <w:szCs w:val="28"/>
              </w:rPr>
            </w:pPr>
            <w:r>
              <w:rPr>
                <w:sz w:val="28"/>
                <w:szCs w:val="28"/>
                <w:lang w:val="ro-RO"/>
              </w:rPr>
              <w:t>d)</w:t>
            </w:r>
            <w:r w:rsidRPr="0015655E">
              <w:rPr>
                <w:sz w:val="28"/>
                <w:szCs w:val="28"/>
              </w:rPr>
              <w:t xml:space="preserve">  отношение заем/стоимость или уровень гарантирования;</w:t>
            </w:r>
          </w:p>
          <w:p w:rsidR="008C0D64" w:rsidRPr="0015655E" w:rsidRDefault="008C0D64" w:rsidP="00B24149">
            <w:pPr>
              <w:pStyle w:val="Heading1"/>
              <w:ind w:left="73" w:right="97"/>
              <w:jc w:val="both"/>
              <w:rPr>
                <w:sz w:val="28"/>
                <w:szCs w:val="28"/>
              </w:rPr>
            </w:pPr>
            <w:r>
              <w:rPr>
                <w:sz w:val="28"/>
                <w:szCs w:val="28"/>
                <w:lang w:val="ro-RO"/>
              </w:rPr>
              <w:t>e)</w:t>
            </w:r>
            <w:r w:rsidRPr="0015655E">
              <w:rPr>
                <w:sz w:val="28"/>
                <w:szCs w:val="28"/>
              </w:rPr>
              <w:t xml:space="preserve">  в случае, когда отчет об оценке недвижимого имущества включается в проспект – описание оценки.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B.25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В случае, когда эмиссия обеспечена группой соответствующих активно управляемых активов – описание параметров, в которых могут осуществляться инвестиции, название и описание ответственного за управление общества, в том числе краткое описание отношения данного общества с остальными сторонами эмиссии.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B.26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В случае если эмитент предлагает выпуск других ценных бумаг, обеспеченных теми же активами, - декларация об этом.</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B.27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 xml:space="preserve">Описание структуры сделки гарантирования, сопровожденное, в зависимости от случая, </w:t>
            </w:r>
            <w:proofErr w:type="spellStart"/>
            <w:r w:rsidRPr="0015655E">
              <w:rPr>
                <w:sz w:val="28"/>
                <w:szCs w:val="28"/>
                <w:lang w:val="ru-RU"/>
              </w:rPr>
              <w:t>органиграммой</w:t>
            </w:r>
            <w:proofErr w:type="spellEnd"/>
            <w:r w:rsidRPr="0015655E">
              <w:rPr>
                <w:sz w:val="28"/>
                <w:szCs w:val="28"/>
                <w:lang w:val="ru-RU"/>
              </w:rPr>
              <w:t>.</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B.28 </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 xml:space="preserve">Описание финансовых потоков, включая информацию о </w:t>
            </w:r>
            <w:r w:rsidRPr="0015655E">
              <w:rPr>
                <w:sz w:val="28"/>
                <w:szCs w:val="28"/>
                <w:lang w:val="ru-RU"/>
              </w:rPr>
              <w:lastRenderedPageBreak/>
              <w:t xml:space="preserve">партнерах по договорам </w:t>
            </w:r>
            <w:proofErr w:type="spellStart"/>
            <w:r w:rsidRPr="0015655E">
              <w:rPr>
                <w:sz w:val="28"/>
                <w:szCs w:val="28"/>
                <w:lang w:val="ru-RU"/>
              </w:rPr>
              <w:t>swap</w:t>
            </w:r>
            <w:proofErr w:type="spellEnd"/>
            <w:r w:rsidRPr="0015655E">
              <w:rPr>
                <w:sz w:val="28"/>
                <w:szCs w:val="28"/>
                <w:lang w:val="ru-RU"/>
              </w:rPr>
              <w:t xml:space="preserve"> и любые иные существенные формы улучшения кредитной доли и ликвидности, а также их поставщики.</w:t>
            </w:r>
          </w:p>
        </w:tc>
      </w:tr>
      <w:tr w:rsidR="008C0D64" w:rsidRPr="0015655E" w:rsidTr="00B24149">
        <w:trPr>
          <w:trHeight w:val="145"/>
          <w:tblCellSpacing w:w="0" w:type="dxa"/>
        </w:trPr>
        <w:tc>
          <w:tcPr>
            <w:tcW w:w="102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rPr>
                <w:sz w:val="28"/>
                <w:szCs w:val="28"/>
                <w:lang w:val="ru-RU"/>
              </w:rPr>
            </w:pPr>
            <w:r w:rsidRPr="0015655E">
              <w:rPr>
                <w:sz w:val="28"/>
                <w:szCs w:val="28"/>
                <w:lang w:val="ru-RU"/>
              </w:rPr>
              <w:lastRenderedPageBreak/>
              <w:t>16</w:t>
            </w:r>
          </w:p>
        </w:tc>
        <w:tc>
          <w:tcPr>
            <w:tcW w:w="1267"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B.29</w:t>
            </w:r>
          </w:p>
        </w:tc>
        <w:tc>
          <w:tcPr>
            <w:tcW w:w="819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73" w:right="97"/>
              <w:jc w:val="both"/>
              <w:rPr>
                <w:sz w:val="28"/>
                <w:szCs w:val="28"/>
                <w:lang w:val="ru-RU"/>
              </w:rPr>
            </w:pPr>
            <w:r w:rsidRPr="0015655E">
              <w:rPr>
                <w:sz w:val="28"/>
                <w:szCs w:val="28"/>
                <w:lang w:val="ru-RU"/>
              </w:rPr>
              <w:t>Наименование и описание учреждений, стоявших у начала соответствующих активов.</w:t>
            </w:r>
          </w:p>
        </w:tc>
      </w:tr>
    </w:tbl>
    <w:p w:rsidR="008C0D64" w:rsidRPr="0015655E" w:rsidRDefault="008C0D64" w:rsidP="008C0D64">
      <w:pPr>
        <w:pStyle w:val="NormalWeb"/>
        <w:rPr>
          <w:rFonts w:ascii="Times New Roman" w:hAnsi="Times New Roman" w:cs="Times New Roman"/>
          <w:sz w:val="28"/>
          <w:szCs w:val="28"/>
          <w:lang w:eastAsia="en-US"/>
        </w:rPr>
      </w:pPr>
    </w:p>
    <w:p w:rsidR="008C0D64" w:rsidRPr="0015655E" w:rsidRDefault="008C0D64" w:rsidP="008C0D64">
      <w:pPr>
        <w:pStyle w:val="norm"/>
        <w:spacing w:before="0" w:beforeAutospacing="0" w:after="0" w:afterAutospacing="0"/>
        <w:rPr>
          <w:b/>
          <w:sz w:val="28"/>
          <w:szCs w:val="28"/>
          <w:lang w:eastAsia="en-US"/>
        </w:rPr>
      </w:pPr>
      <w:r w:rsidRPr="0015655E">
        <w:rPr>
          <w:b/>
          <w:sz w:val="28"/>
          <w:szCs w:val="28"/>
          <w:lang w:eastAsia="en-US"/>
        </w:rPr>
        <w:t xml:space="preserve">Раздел  C –  Ценные бумаги </w:t>
      </w:r>
    </w:p>
    <w:tbl>
      <w:tblPr>
        <w:tblpPr w:leftFromText="180" w:rightFromText="180" w:vertAnchor="text" w:horzAnchor="page" w:tblpX="1076" w:tblpY="417"/>
        <w:tblW w:w="1039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1183"/>
        <w:gridCol w:w="7486"/>
      </w:tblGrid>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142" w:hanging="142"/>
              <w:rPr>
                <w:rFonts w:ascii="Times New Roman" w:hAnsi="Times New Roman" w:cs="Times New Roman"/>
                <w:b/>
                <w:sz w:val="28"/>
                <w:szCs w:val="28"/>
                <w:lang w:eastAsia="en-US"/>
              </w:rPr>
            </w:pPr>
            <w:r w:rsidRPr="0015655E">
              <w:rPr>
                <w:rFonts w:ascii="Times New Roman" w:hAnsi="Times New Roman" w:cs="Times New Roman"/>
                <w:b/>
                <w:sz w:val="28"/>
                <w:szCs w:val="28"/>
                <w:lang w:eastAsia="en-US"/>
              </w:rPr>
              <w:t>Приложения</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b/>
                <w:sz w:val="28"/>
                <w:szCs w:val="28"/>
                <w:lang w:eastAsia="en-US"/>
              </w:rPr>
            </w:pPr>
            <w:r w:rsidRPr="0015655E">
              <w:rPr>
                <w:rFonts w:ascii="Times New Roman" w:hAnsi="Times New Roman" w:cs="Times New Roman"/>
                <w:b/>
                <w:sz w:val="28"/>
                <w:szCs w:val="28"/>
                <w:lang w:eastAsia="en-US"/>
              </w:rPr>
              <w:t>Элемент</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b/>
                <w:sz w:val="28"/>
                <w:szCs w:val="28"/>
                <w:lang w:eastAsia="en-US"/>
              </w:rPr>
            </w:pPr>
            <w:r w:rsidRPr="0015655E">
              <w:rPr>
                <w:rFonts w:ascii="Times New Roman" w:hAnsi="Times New Roman" w:cs="Times New Roman"/>
                <w:b/>
                <w:sz w:val="28"/>
                <w:szCs w:val="28"/>
                <w:lang w:eastAsia="en-US"/>
              </w:rPr>
              <w:t>Требовани</w:t>
            </w:r>
            <w:r>
              <w:rPr>
                <w:rFonts w:ascii="Times New Roman" w:hAnsi="Times New Roman" w:cs="Times New Roman"/>
                <w:b/>
                <w:sz w:val="28"/>
                <w:szCs w:val="28"/>
                <w:lang w:eastAsia="en-US"/>
              </w:rPr>
              <w:t>е</w:t>
            </w:r>
            <w:r w:rsidRPr="0015655E">
              <w:rPr>
                <w:rFonts w:ascii="Times New Roman" w:hAnsi="Times New Roman" w:cs="Times New Roman"/>
                <w:b/>
                <w:sz w:val="28"/>
                <w:szCs w:val="28"/>
                <w:lang w:eastAsia="en-US"/>
              </w:rPr>
              <w:t xml:space="preserve"> к рекламе</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9,11,13,</w:t>
            </w:r>
            <w:r>
              <w:rPr>
                <w:rStyle w:val="boldface"/>
                <w:sz w:val="28"/>
                <w:szCs w:val="28"/>
              </w:rPr>
              <w:t>1</w:t>
            </w:r>
            <w:r w:rsidRPr="0015655E">
              <w:rPr>
                <w:rStyle w:val="boldface"/>
                <w:sz w:val="28"/>
                <w:szCs w:val="28"/>
              </w:rPr>
              <w:t>7</w:t>
            </w:r>
          </w:p>
          <w:p w:rsidR="008C0D64" w:rsidRPr="0015655E" w:rsidRDefault="008C0D64" w:rsidP="00B24149">
            <w:pPr>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характера и категории ценных бумаг, являющихся предметом публичного предложения, в том числе любой идентификационный номер ценных бумаг.</w:t>
            </w:r>
          </w:p>
        </w:tc>
      </w:tr>
      <w:tr w:rsidR="008C0D64" w:rsidRPr="0015655E" w:rsidTr="00B24149">
        <w:trPr>
          <w:trHeight w:val="358"/>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9,11,13,17</w:t>
            </w:r>
          </w:p>
          <w:p w:rsidR="008C0D64" w:rsidRPr="0015655E" w:rsidRDefault="008C0D64" w:rsidP="00B24149">
            <w:pPr>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C.2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Валюта, в которой осуществлена эмиссия.</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7</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C.3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Число выпущенных и полностью оплаченных акций и число выпущенных, но не полностью оплаченных  акций. </w:t>
            </w:r>
          </w:p>
          <w:p w:rsidR="008C0D64" w:rsidRPr="0015655E" w:rsidRDefault="008C0D64" w:rsidP="00B24149">
            <w:pPr>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Номинальная стоимость на акцию или тот факт, что акции не имеют номинальной стоимости (установленная стоимость).</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9</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C.4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прав, связанных с ценными бумагами.</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9,11,13</w:t>
            </w:r>
            <w:r>
              <w:rPr>
                <w:rStyle w:val="boldface"/>
                <w:sz w:val="28"/>
                <w:szCs w:val="28"/>
              </w:rPr>
              <w:t>,</w:t>
            </w:r>
          </w:p>
          <w:p w:rsidR="008C0D64" w:rsidRPr="0015655E" w:rsidRDefault="008C0D64" w:rsidP="00B24149">
            <w:pPr>
              <w:rPr>
                <w:rFonts w:ascii="Times New Roman" w:hAnsi="Times New Roman" w:cs="Times New Roman"/>
                <w:sz w:val="28"/>
                <w:szCs w:val="28"/>
                <w:lang w:eastAsia="en-US"/>
              </w:rPr>
            </w:pPr>
            <w:r w:rsidRPr="0015655E">
              <w:rPr>
                <w:rStyle w:val="boldface"/>
                <w:sz w:val="28"/>
                <w:szCs w:val="28"/>
              </w:rPr>
              <w:t>17</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C.5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Описание всех ограничений на </w:t>
            </w:r>
            <w:r w:rsidRPr="0015655E">
              <w:rPr>
                <w:rFonts w:ascii="Times New Roman" w:hAnsi="Times New Roman"/>
                <w:sz w:val="28"/>
                <w:szCs w:val="28"/>
              </w:rPr>
              <w:t xml:space="preserve"> свободную передачу ценных бумаг</w:t>
            </w:r>
            <w:r w:rsidRPr="0015655E">
              <w:rPr>
                <w:rFonts w:ascii="Times New Roman" w:hAnsi="Times New Roman" w:cs="Times New Roman"/>
                <w:sz w:val="28"/>
                <w:szCs w:val="28"/>
                <w:lang w:eastAsia="en-US"/>
              </w:rPr>
              <w:t>.</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9</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C.6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Указать если предлагаемые ценные бумаги составляют или составят предмет заявки на допущение к торгам на регулируемом рынке и все регулируемые </w:t>
            </w:r>
            <w:proofErr w:type="gramStart"/>
            <w:r w:rsidRPr="0015655E">
              <w:rPr>
                <w:rFonts w:ascii="Times New Roman" w:hAnsi="Times New Roman" w:cs="Times New Roman"/>
                <w:sz w:val="28"/>
                <w:szCs w:val="28"/>
                <w:lang w:eastAsia="en-US"/>
              </w:rPr>
              <w:t>рынки</w:t>
            </w:r>
            <w:proofErr w:type="gramEnd"/>
            <w:r w:rsidRPr="0015655E">
              <w:rPr>
                <w:rFonts w:ascii="Times New Roman" w:hAnsi="Times New Roman" w:cs="Times New Roman"/>
                <w:sz w:val="28"/>
                <w:szCs w:val="28"/>
                <w:lang w:eastAsia="en-US"/>
              </w:rPr>
              <w:t xml:space="preserve"> на которых ценные бумаги торгуются или будут торговаться.</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7  </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C.7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политики распределения дивидендов.</w:t>
            </w:r>
          </w:p>
        </w:tc>
      </w:tr>
      <w:tr w:rsidR="008C0D64" w:rsidRPr="0015655E" w:rsidTr="00B24149">
        <w:trPr>
          <w:trHeight w:val="917"/>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11</w:t>
            </w:r>
            <w:r>
              <w:rPr>
                <w:rStyle w:val="boldface"/>
                <w:sz w:val="28"/>
                <w:szCs w:val="28"/>
              </w:rPr>
              <w:t>,</w:t>
            </w:r>
          </w:p>
          <w:p w:rsidR="008C0D64" w:rsidRPr="0015655E" w:rsidRDefault="008C0D64" w:rsidP="00B24149">
            <w:pPr>
              <w:rPr>
                <w:rStyle w:val="boldface"/>
                <w:sz w:val="28"/>
                <w:szCs w:val="28"/>
              </w:rPr>
            </w:pPr>
            <w:r w:rsidRPr="0015655E">
              <w:rPr>
                <w:rStyle w:val="boldface"/>
                <w:sz w:val="28"/>
                <w:szCs w:val="28"/>
              </w:rPr>
              <w:t>13</w:t>
            </w:r>
            <w:r>
              <w:rPr>
                <w:rStyle w:val="boldface"/>
                <w:sz w:val="28"/>
                <w:szCs w:val="28"/>
              </w:rPr>
              <w:t>,</w:t>
            </w:r>
          </w:p>
          <w:p w:rsidR="008C0D64" w:rsidRPr="0015655E" w:rsidRDefault="008C0D64" w:rsidP="00B24149">
            <w:pPr>
              <w:rPr>
                <w:sz w:val="28"/>
                <w:szCs w:val="28"/>
              </w:rPr>
            </w:pPr>
            <w:r w:rsidRPr="0015655E">
              <w:rPr>
                <w:rStyle w:val="boldface"/>
                <w:sz w:val="28"/>
                <w:szCs w:val="28"/>
              </w:rPr>
              <w:t>17</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C.8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sz w:val="28"/>
                <w:szCs w:val="28"/>
                <w:lang w:eastAsia="en-US"/>
              </w:rPr>
            </w:pPr>
            <w:r w:rsidRPr="0015655E">
              <w:rPr>
                <w:sz w:val="28"/>
                <w:szCs w:val="28"/>
                <w:lang w:eastAsia="en-US"/>
              </w:rPr>
              <w:t xml:space="preserve">C.4 и дополнительно: </w:t>
            </w:r>
          </w:p>
          <w:p w:rsidR="008C0D64" w:rsidRPr="0015655E" w:rsidRDefault="008C0D64" w:rsidP="00B24149">
            <w:pPr>
              <w:pStyle w:val="Heading1"/>
              <w:ind w:left="97" w:right="97"/>
              <w:jc w:val="both"/>
              <w:rPr>
                <w:sz w:val="28"/>
                <w:szCs w:val="28"/>
                <w:lang w:eastAsia="en-US"/>
              </w:rPr>
            </w:pPr>
            <w:r>
              <w:rPr>
                <w:sz w:val="28"/>
                <w:szCs w:val="28"/>
                <w:lang w:val="ro-RO" w:eastAsia="en-US"/>
              </w:rPr>
              <w:t>a)</w:t>
            </w:r>
            <w:r w:rsidRPr="0015655E">
              <w:rPr>
                <w:sz w:val="28"/>
                <w:szCs w:val="28"/>
                <w:lang w:eastAsia="en-US"/>
              </w:rPr>
              <w:t> „включая классификацию”;</w:t>
            </w:r>
          </w:p>
          <w:p w:rsidR="008C0D64" w:rsidRPr="0015655E" w:rsidRDefault="008C0D64" w:rsidP="00B24149">
            <w:pPr>
              <w:pStyle w:val="Heading1"/>
              <w:ind w:left="97" w:right="97"/>
              <w:jc w:val="both"/>
              <w:rPr>
                <w:sz w:val="28"/>
                <w:szCs w:val="28"/>
                <w:lang w:eastAsia="en-US"/>
              </w:rPr>
            </w:pPr>
            <w:r>
              <w:rPr>
                <w:sz w:val="28"/>
                <w:szCs w:val="28"/>
                <w:lang w:val="ro-RO" w:eastAsia="en-US"/>
              </w:rPr>
              <w:t>b)</w:t>
            </w:r>
            <w:r w:rsidRPr="0015655E">
              <w:rPr>
                <w:sz w:val="28"/>
                <w:szCs w:val="28"/>
                <w:lang w:eastAsia="en-US"/>
              </w:rPr>
              <w:t> „включая ограничения данных прав”.</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11</w:t>
            </w:r>
            <w:r>
              <w:rPr>
                <w:rStyle w:val="boldface"/>
                <w:sz w:val="28"/>
                <w:szCs w:val="28"/>
              </w:rPr>
              <w:t>,</w:t>
            </w:r>
          </w:p>
          <w:p w:rsidR="008C0D64" w:rsidRPr="0015655E" w:rsidRDefault="008C0D64" w:rsidP="00B24149">
            <w:pPr>
              <w:rPr>
                <w:rStyle w:val="boldface"/>
                <w:sz w:val="28"/>
                <w:szCs w:val="28"/>
              </w:rPr>
            </w:pPr>
            <w:r w:rsidRPr="0015655E">
              <w:rPr>
                <w:rStyle w:val="boldface"/>
                <w:sz w:val="28"/>
                <w:szCs w:val="28"/>
              </w:rPr>
              <w:t>13</w:t>
            </w:r>
          </w:p>
          <w:p w:rsidR="008C0D64" w:rsidRPr="0015655E" w:rsidRDefault="008C0D64" w:rsidP="00B24149">
            <w:pPr>
              <w:spacing w:before="100" w:beforeAutospacing="1" w:after="100" w:afterAutospacing="1"/>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C.9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C.8 и дополнительно: </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a)</w:t>
            </w:r>
            <w:r w:rsidRPr="0015655E">
              <w:rPr>
                <w:rFonts w:ascii="Times New Roman" w:hAnsi="Times New Roman" w:cs="Times New Roman"/>
                <w:sz w:val="28"/>
                <w:szCs w:val="28"/>
                <w:lang w:eastAsia="en-US"/>
              </w:rPr>
              <w:t xml:space="preserve"> номинальная процентная ставка;</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b)</w:t>
            </w:r>
            <w:r w:rsidRPr="0015655E">
              <w:rPr>
                <w:rFonts w:ascii="Times New Roman" w:hAnsi="Times New Roman" w:cs="Times New Roman"/>
                <w:sz w:val="28"/>
                <w:szCs w:val="28"/>
                <w:lang w:eastAsia="en-US"/>
              </w:rPr>
              <w:t xml:space="preserve"> дата, с которой начисляются проценты, и срок платежа процентов;</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c)</w:t>
            </w:r>
            <w:r w:rsidRPr="0015655E">
              <w:rPr>
                <w:rFonts w:ascii="Times New Roman" w:hAnsi="Times New Roman" w:cs="Times New Roman"/>
                <w:sz w:val="28"/>
                <w:szCs w:val="28"/>
                <w:lang w:eastAsia="en-US"/>
              </w:rPr>
              <w:t>в случае если процентная ставка не является установленной, дается описание соответствующих элементов, на основании которых она рассчитывается;</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d)</w:t>
            </w:r>
            <w:r w:rsidRPr="0015655E">
              <w:rPr>
                <w:rFonts w:ascii="Times New Roman" w:hAnsi="Times New Roman" w:cs="Times New Roman"/>
                <w:sz w:val="28"/>
                <w:szCs w:val="28"/>
                <w:lang w:eastAsia="en-US"/>
              </w:rPr>
              <w:t xml:space="preserve"> дата истечения срока платежа и описание способа </w:t>
            </w:r>
            <w:r w:rsidRPr="0015655E">
              <w:rPr>
                <w:rFonts w:ascii="Times New Roman" w:hAnsi="Times New Roman" w:cs="Times New Roman"/>
                <w:sz w:val="28"/>
                <w:szCs w:val="28"/>
                <w:lang w:eastAsia="en-US"/>
              </w:rPr>
              <w:lastRenderedPageBreak/>
              <w:t>амортизации займа, в том числе процедур возмещения;</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e)</w:t>
            </w:r>
            <w:r w:rsidRPr="0015655E">
              <w:rPr>
                <w:rFonts w:ascii="Times New Roman" w:hAnsi="Times New Roman" w:cs="Times New Roman"/>
                <w:sz w:val="28"/>
                <w:szCs w:val="28"/>
                <w:lang w:eastAsia="en-US"/>
              </w:rPr>
              <w:t> доходность;</w:t>
            </w:r>
          </w:p>
          <w:p w:rsidR="008C0D64" w:rsidRPr="0015655E" w:rsidRDefault="008C0D64" w:rsidP="00B24149">
            <w:pPr>
              <w:ind w:left="97" w:right="97"/>
              <w:jc w:val="both"/>
              <w:rPr>
                <w:rFonts w:ascii="Times New Roman" w:hAnsi="Times New Roman" w:cs="Times New Roman"/>
                <w:sz w:val="28"/>
                <w:szCs w:val="28"/>
                <w:lang w:eastAsia="en-US"/>
              </w:rPr>
            </w:pPr>
            <w:r>
              <w:rPr>
                <w:rFonts w:ascii="Times New Roman" w:hAnsi="Times New Roman" w:cs="Times New Roman"/>
                <w:sz w:val="28"/>
                <w:szCs w:val="28"/>
                <w:lang w:val="ro-RO" w:eastAsia="en-US"/>
              </w:rPr>
              <w:t>f)</w:t>
            </w:r>
            <w:r w:rsidRPr="0015655E">
              <w:rPr>
                <w:rFonts w:ascii="Times New Roman" w:hAnsi="Times New Roman" w:cs="Times New Roman"/>
                <w:sz w:val="28"/>
                <w:szCs w:val="28"/>
                <w:lang w:eastAsia="en-US"/>
              </w:rPr>
              <w:t> фамилия представителя владельцев облигаций.</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lastRenderedPageBreak/>
              <w:t>11</w:t>
            </w:r>
          </w:p>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 </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C.10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C.9 и дополнительно: </w:t>
            </w:r>
          </w:p>
          <w:p w:rsidR="008C0D64" w:rsidRPr="0015655E" w:rsidRDefault="008C0D64" w:rsidP="00B24149">
            <w:pPr>
              <w:ind w:left="97" w:right="97"/>
              <w:jc w:val="both"/>
              <w:rPr>
                <w:rFonts w:ascii="Times New Roman" w:hAnsi="Times New Roman"/>
                <w:sz w:val="28"/>
                <w:szCs w:val="28"/>
              </w:rPr>
            </w:pPr>
            <w:r w:rsidRPr="0015655E">
              <w:rPr>
                <w:rFonts w:ascii="Times New Roman" w:hAnsi="Times New Roman"/>
                <w:sz w:val="28"/>
                <w:szCs w:val="28"/>
              </w:rPr>
              <w:t>В случае, когда выплата процентов от стоимости выпуска соотносится с производным инструментом (несколькими производными инструментами), представить точные и исчерпывающие разъяснения, которые позволили бы инвесторам понять каким образом на стоимость их инвестиции влияет стоимость соответствующег</w:t>
            </w:r>
            <w:proofErr w:type="gramStart"/>
            <w:r w:rsidRPr="0015655E">
              <w:rPr>
                <w:rFonts w:ascii="Times New Roman" w:hAnsi="Times New Roman"/>
                <w:sz w:val="28"/>
                <w:szCs w:val="28"/>
              </w:rPr>
              <w:t>о(</w:t>
            </w:r>
            <w:proofErr w:type="gramEnd"/>
            <w:r w:rsidRPr="0015655E">
              <w:rPr>
                <w:rFonts w:ascii="Times New Roman" w:hAnsi="Times New Roman"/>
                <w:sz w:val="28"/>
                <w:szCs w:val="28"/>
              </w:rPr>
              <w:t>их) инструмента(</w:t>
            </w:r>
            <w:proofErr w:type="spellStart"/>
            <w:r w:rsidRPr="0015655E">
              <w:rPr>
                <w:rFonts w:ascii="Times New Roman" w:hAnsi="Times New Roman"/>
                <w:sz w:val="28"/>
                <w:szCs w:val="28"/>
              </w:rPr>
              <w:t>ов</w:t>
            </w:r>
            <w:proofErr w:type="spellEnd"/>
            <w:r w:rsidRPr="0015655E">
              <w:rPr>
                <w:rFonts w:ascii="Times New Roman" w:hAnsi="Times New Roman"/>
                <w:sz w:val="28"/>
                <w:szCs w:val="28"/>
              </w:rPr>
              <w:t>), в особенности в случае, когда риски являются очевидными.</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11</w:t>
            </w:r>
          </w:p>
          <w:p w:rsidR="008C0D64" w:rsidRPr="0015655E" w:rsidRDefault="008C0D64" w:rsidP="00B24149">
            <w:pPr>
              <w:rPr>
                <w:rStyle w:val="boldface"/>
                <w:sz w:val="28"/>
                <w:szCs w:val="28"/>
              </w:rPr>
            </w:pPr>
            <w:r w:rsidRPr="0015655E">
              <w:rPr>
                <w:rStyle w:val="boldface"/>
                <w:sz w:val="28"/>
                <w:szCs w:val="28"/>
              </w:rPr>
              <w:t>17</w:t>
            </w:r>
          </w:p>
          <w:p w:rsidR="008C0D64" w:rsidRPr="0015655E" w:rsidRDefault="008C0D64" w:rsidP="00B24149">
            <w:pPr>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C.11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Указать если предлагаемые ценные бумаги составляют или составят предмет заявки на допущение к торгам, в целях их распределения на регулируемом рынке или на равноценном рынке, с указанием соответствующих рынков.</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16</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C.12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spacing w:before="100" w:beforeAutospacing="1" w:after="100" w:afterAutospacing="1"/>
              <w:ind w:left="97" w:right="97"/>
              <w:rPr>
                <w:rFonts w:ascii="Times New Roman" w:hAnsi="Times New Roman" w:cs="Times New Roman"/>
                <w:sz w:val="28"/>
                <w:szCs w:val="28"/>
                <w:lang w:eastAsia="en-US"/>
              </w:rPr>
            </w:pPr>
            <w:r w:rsidRPr="0015655E">
              <w:rPr>
                <w:rFonts w:ascii="Times New Roman" w:hAnsi="Times New Roman" w:cs="Times New Roman"/>
                <w:sz w:val="28"/>
                <w:szCs w:val="28"/>
                <w:lang w:eastAsia="en-US"/>
              </w:rPr>
              <w:t>Минимальная номинальная стоимость одной эмиссии.</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Style w:val="boldface"/>
                <w:sz w:val="28"/>
                <w:szCs w:val="28"/>
              </w:rPr>
              <w:t>17</w:t>
            </w: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C.14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sz w:val="28"/>
                <w:szCs w:val="28"/>
              </w:rPr>
              <w:t>Описание того, каким образом на стоимость инвестиции влияет стоимость ценной бумаги, на основании которой были выпущены МДР по облигациям, за исключением случая, когда их номинальная стоимость не менее эквивалента 50 000 евро в леях</w:t>
            </w:r>
            <w:r w:rsidRPr="0015655E">
              <w:rPr>
                <w:rFonts w:ascii="Times New Roman" w:hAnsi="Times New Roman" w:cs="Times New Roman"/>
                <w:sz w:val="28"/>
                <w:szCs w:val="28"/>
                <w:lang w:eastAsia="en-US"/>
              </w:rPr>
              <w:t>.</w:t>
            </w:r>
          </w:p>
        </w:tc>
      </w:tr>
      <w:tr w:rsidR="008C0D64" w:rsidRPr="0015655E" w:rsidTr="00B24149">
        <w:trPr>
          <w:trHeight w:val="477"/>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C.15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Дата истечения или срок платежа производных инструментов (МДР) – дата исполнения или окончательная рекомендуемая дата.</w:t>
            </w:r>
          </w:p>
        </w:tc>
      </w:tr>
      <w:tr w:rsidR="008C0D64" w:rsidRPr="0015655E" w:rsidTr="00B24149">
        <w:trPr>
          <w:trHeight w:val="292"/>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C.16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процедуры регулирования производных документов.</w:t>
            </w:r>
          </w:p>
        </w:tc>
      </w:tr>
      <w:tr w:rsidR="008C0D64" w:rsidRPr="0015655E" w:rsidTr="00B24149">
        <w:trPr>
          <w:trHeight w:val="400"/>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C.17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способов управления полученной от производных инструментов выгодой.</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C.18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Цена исполнения  и  окончательная рекомендуемая цена соответствующих ценных бумаг (на основании которых были выпущены МДР).</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C.19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Описание вида соответствующих ценных бумаг  и места где можно найти информацию о них.</w:t>
            </w:r>
          </w:p>
        </w:tc>
      </w:tr>
      <w:tr w:rsidR="008C0D64" w:rsidRPr="0015655E" w:rsidTr="00B24149">
        <w:trPr>
          <w:trHeight w:val="586"/>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17</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C.20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Регулируемый рынок, на котором будут торговаться производные ценные бумаги (МДР по акциям)</w:t>
            </w:r>
            <w:r>
              <w:rPr>
                <w:rFonts w:ascii="Times New Roman" w:hAnsi="Times New Roman" w:cs="Times New Roman"/>
                <w:sz w:val="28"/>
                <w:szCs w:val="28"/>
                <w:lang w:eastAsia="en-US"/>
              </w:rPr>
              <w:t>,</w:t>
            </w:r>
            <w:r w:rsidRPr="0015655E">
              <w:rPr>
                <w:rFonts w:ascii="Times New Roman" w:hAnsi="Times New Roman" w:cs="Times New Roman"/>
                <w:sz w:val="28"/>
                <w:szCs w:val="28"/>
                <w:lang w:eastAsia="en-US"/>
              </w:rPr>
              <w:t xml:space="preserve"> и для </w:t>
            </w:r>
            <w:proofErr w:type="gramStart"/>
            <w:r w:rsidRPr="0015655E">
              <w:rPr>
                <w:rFonts w:ascii="Times New Roman" w:hAnsi="Times New Roman" w:cs="Times New Roman"/>
                <w:sz w:val="28"/>
                <w:szCs w:val="28"/>
                <w:lang w:eastAsia="en-US"/>
              </w:rPr>
              <w:t>которого</w:t>
            </w:r>
            <w:proofErr w:type="gramEnd"/>
            <w:r w:rsidRPr="0015655E">
              <w:rPr>
                <w:rFonts w:ascii="Times New Roman" w:hAnsi="Times New Roman" w:cs="Times New Roman"/>
                <w:sz w:val="28"/>
                <w:szCs w:val="28"/>
                <w:lang w:eastAsia="en-US"/>
              </w:rPr>
              <w:t xml:space="preserve"> публикуется проспект.</w:t>
            </w:r>
          </w:p>
        </w:tc>
      </w:tr>
      <w:tr w:rsidR="008C0D64" w:rsidRPr="0015655E" w:rsidTr="00B24149">
        <w:trPr>
          <w:tblCellSpacing w:w="0" w:type="dxa"/>
        </w:trPr>
        <w:tc>
          <w:tcPr>
            <w:tcW w:w="112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Style w:val="boldface"/>
                <w:sz w:val="28"/>
                <w:szCs w:val="28"/>
              </w:rPr>
            </w:pPr>
            <w:r w:rsidRPr="0015655E">
              <w:rPr>
                <w:rStyle w:val="boldface"/>
                <w:sz w:val="28"/>
                <w:szCs w:val="28"/>
              </w:rPr>
              <w:t>18</w:t>
            </w:r>
          </w:p>
          <w:p w:rsidR="008C0D64" w:rsidRPr="0015655E" w:rsidRDefault="008C0D64" w:rsidP="00B24149">
            <w:pPr>
              <w:pStyle w:val="Heading1"/>
              <w:jc w:val="both"/>
              <w:rPr>
                <w:rFonts w:ascii="Times New Roman" w:hAnsi="Times New Roman" w:cs="Times New Roman"/>
                <w:sz w:val="28"/>
                <w:szCs w:val="28"/>
                <w:lang w:eastAsia="en-US"/>
              </w:rPr>
            </w:pPr>
          </w:p>
        </w:tc>
        <w:tc>
          <w:tcPr>
            <w:tcW w:w="118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jc w:val="both"/>
              <w:rPr>
                <w:rFonts w:ascii="Times New Roman" w:hAnsi="Times New Roman" w:cs="Times New Roman"/>
                <w:sz w:val="28"/>
                <w:szCs w:val="28"/>
                <w:lang w:eastAsia="en-US"/>
              </w:rPr>
            </w:pPr>
            <w:r w:rsidRPr="0015655E">
              <w:rPr>
                <w:rFonts w:ascii="Times New Roman" w:hAnsi="Times New Roman" w:cs="Times New Roman"/>
                <w:sz w:val="28"/>
                <w:szCs w:val="28"/>
                <w:lang w:eastAsia="en-US"/>
              </w:rPr>
              <w:t xml:space="preserve">C.21 </w:t>
            </w:r>
          </w:p>
        </w:tc>
        <w:tc>
          <w:tcPr>
            <w:tcW w:w="8080"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Heading1"/>
              <w:ind w:left="97" w:right="97"/>
              <w:jc w:val="both"/>
              <w:rPr>
                <w:sz w:val="28"/>
                <w:szCs w:val="28"/>
                <w:lang w:eastAsia="en-US"/>
              </w:rPr>
            </w:pPr>
            <w:r w:rsidRPr="0015655E">
              <w:rPr>
                <w:sz w:val="28"/>
                <w:szCs w:val="28"/>
                <w:lang w:eastAsia="en-US"/>
              </w:rPr>
              <w:t>Информация о соответствующей акции (</w:t>
            </w:r>
            <w:r w:rsidRPr="0015655E">
              <w:rPr>
                <w:rFonts w:ascii="Times New Roman" w:hAnsi="Times New Roman" w:cs="Times New Roman"/>
                <w:sz w:val="28"/>
                <w:szCs w:val="28"/>
                <w:lang w:eastAsia="en-US"/>
              </w:rPr>
              <w:t>на основании которой были выпущены МДР</w:t>
            </w:r>
            <w:r w:rsidRPr="0015655E">
              <w:rPr>
                <w:sz w:val="28"/>
                <w:szCs w:val="28"/>
                <w:lang w:eastAsia="en-US"/>
              </w:rPr>
              <w:t>):</w:t>
            </w:r>
          </w:p>
          <w:p w:rsidR="008C0D64" w:rsidRPr="0015655E" w:rsidRDefault="008C0D64" w:rsidP="00B24149">
            <w:pPr>
              <w:pStyle w:val="Heading1"/>
              <w:ind w:left="97" w:right="97"/>
              <w:jc w:val="both"/>
              <w:rPr>
                <w:sz w:val="28"/>
                <w:szCs w:val="28"/>
                <w:lang w:eastAsia="en-US"/>
              </w:rPr>
            </w:pPr>
            <w:r>
              <w:rPr>
                <w:sz w:val="28"/>
                <w:szCs w:val="28"/>
                <w:lang w:val="ro-RO" w:eastAsia="en-US"/>
              </w:rPr>
              <w:lastRenderedPageBreak/>
              <w:t>a)</w:t>
            </w:r>
            <w:r w:rsidRPr="0015655E">
              <w:rPr>
                <w:sz w:val="28"/>
                <w:szCs w:val="28"/>
                <w:lang w:eastAsia="en-US"/>
              </w:rPr>
              <w:t xml:space="preserve">   описание соответствующей акции;</w:t>
            </w:r>
          </w:p>
          <w:p w:rsidR="008C0D64" w:rsidRPr="0015655E" w:rsidRDefault="008C0D64" w:rsidP="00B24149">
            <w:pPr>
              <w:pStyle w:val="Heading1"/>
              <w:ind w:left="97" w:right="97"/>
              <w:jc w:val="both"/>
              <w:rPr>
                <w:sz w:val="28"/>
                <w:szCs w:val="28"/>
                <w:lang w:eastAsia="en-US"/>
              </w:rPr>
            </w:pPr>
            <w:r>
              <w:rPr>
                <w:sz w:val="28"/>
                <w:szCs w:val="28"/>
                <w:lang w:val="ro-RO" w:eastAsia="en-US"/>
              </w:rPr>
              <w:t>b)</w:t>
            </w:r>
            <w:r w:rsidRPr="0015655E">
              <w:rPr>
                <w:sz w:val="28"/>
                <w:szCs w:val="28"/>
                <w:lang w:eastAsia="en-US"/>
              </w:rPr>
              <w:t xml:space="preserve">   C.2;</w:t>
            </w:r>
          </w:p>
          <w:p w:rsidR="008C0D64" w:rsidRPr="0015655E" w:rsidRDefault="008C0D64" w:rsidP="00B24149">
            <w:pPr>
              <w:pStyle w:val="Heading1"/>
              <w:ind w:left="97" w:right="97"/>
              <w:jc w:val="both"/>
              <w:rPr>
                <w:sz w:val="28"/>
                <w:szCs w:val="28"/>
                <w:lang w:eastAsia="en-US"/>
              </w:rPr>
            </w:pPr>
            <w:r>
              <w:rPr>
                <w:sz w:val="28"/>
                <w:szCs w:val="28"/>
                <w:lang w:val="ro-RO" w:eastAsia="en-US"/>
              </w:rPr>
              <w:t>c)</w:t>
            </w:r>
            <w:r w:rsidRPr="0015655E">
              <w:rPr>
                <w:sz w:val="28"/>
                <w:szCs w:val="28"/>
                <w:lang w:eastAsia="en-US"/>
              </w:rPr>
              <w:t xml:space="preserve">   C.4 и дополнительно слова „… и процедура исполнения данных прав”;</w:t>
            </w:r>
          </w:p>
          <w:p w:rsidR="008C0D64" w:rsidRPr="0015655E" w:rsidRDefault="008C0D64" w:rsidP="00B24149">
            <w:pPr>
              <w:pStyle w:val="Heading1"/>
              <w:ind w:left="97" w:right="97"/>
              <w:jc w:val="both"/>
              <w:rPr>
                <w:sz w:val="28"/>
                <w:szCs w:val="28"/>
                <w:lang w:eastAsia="en-US"/>
              </w:rPr>
            </w:pPr>
            <w:r>
              <w:rPr>
                <w:sz w:val="28"/>
                <w:szCs w:val="28"/>
                <w:lang w:val="ro-RO" w:eastAsia="en-US"/>
              </w:rPr>
              <w:t>d)</w:t>
            </w:r>
            <w:r w:rsidRPr="0015655E">
              <w:rPr>
                <w:sz w:val="28"/>
                <w:szCs w:val="28"/>
                <w:lang w:eastAsia="en-US"/>
              </w:rPr>
              <w:t xml:space="preserve">   место и момент, в котором акции были или будут допущены к торгам;</w:t>
            </w:r>
          </w:p>
          <w:p w:rsidR="008C0D64" w:rsidRPr="0015655E" w:rsidRDefault="008C0D64" w:rsidP="00B24149">
            <w:pPr>
              <w:pStyle w:val="Heading1"/>
              <w:ind w:left="97" w:right="97"/>
              <w:jc w:val="both"/>
              <w:rPr>
                <w:sz w:val="28"/>
                <w:szCs w:val="28"/>
                <w:lang w:eastAsia="en-US"/>
              </w:rPr>
            </w:pPr>
            <w:r>
              <w:rPr>
                <w:sz w:val="28"/>
                <w:szCs w:val="28"/>
                <w:lang w:val="ro-RO" w:eastAsia="en-US"/>
              </w:rPr>
              <w:t>e)</w:t>
            </w:r>
            <w:r w:rsidRPr="0015655E">
              <w:rPr>
                <w:sz w:val="28"/>
                <w:szCs w:val="28"/>
                <w:lang w:eastAsia="en-US"/>
              </w:rPr>
              <w:t xml:space="preserve">  C.5;</w:t>
            </w:r>
          </w:p>
          <w:p w:rsidR="008C0D64" w:rsidRPr="0015655E" w:rsidRDefault="008C0D64" w:rsidP="00B24149">
            <w:pPr>
              <w:pStyle w:val="Heading1"/>
              <w:ind w:left="97" w:right="97"/>
              <w:jc w:val="both"/>
              <w:rPr>
                <w:sz w:val="28"/>
                <w:szCs w:val="28"/>
                <w:lang w:eastAsia="en-US"/>
              </w:rPr>
            </w:pPr>
            <w:r w:rsidRPr="0015655E">
              <w:rPr>
                <w:sz w:val="28"/>
                <w:szCs w:val="28"/>
                <w:lang w:eastAsia="en-US"/>
              </w:rPr>
              <w:t>В случае, когда эмитентом соответствующих акций является общество, принадлежащее к той же группе, о нем  представляется та же информация, которая содержится и в документе регистрации для акций. Таким образом, предоставляется та же информация, что и в случае резюме для Приложения № 7.</w:t>
            </w:r>
          </w:p>
        </w:tc>
      </w:tr>
    </w:tbl>
    <w:p w:rsidR="008C0D64" w:rsidRPr="0015655E" w:rsidRDefault="008C0D64" w:rsidP="008C0D64">
      <w:pPr>
        <w:pStyle w:val="norm"/>
        <w:spacing w:before="0" w:beforeAutospacing="0" w:after="0" w:afterAutospacing="0"/>
        <w:rPr>
          <w:b/>
          <w:sz w:val="28"/>
          <w:szCs w:val="28"/>
          <w:lang w:eastAsia="en-US"/>
        </w:rPr>
      </w:pPr>
    </w:p>
    <w:p w:rsidR="008C0D64" w:rsidRPr="0015655E" w:rsidRDefault="008C0D64" w:rsidP="008C0D64">
      <w:pPr>
        <w:pStyle w:val="norm"/>
        <w:spacing w:before="0" w:beforeAutospacing="0" w:after="0" w:afterAutospacing="0"/>
        <w:rPr>
          <w:b/>
          <w:sz w:val="28"/>
          <w:szCs w:val="28"/>
          <w:lang w:eastAsia="en-US"/>
        </w:rPr>
      </w:pPr>
    </w:p>
    <w:p w:rsidR="008C0D64" w:rsidRPr="0015655E" w:rsidRDefault="008C0D64" w:rsidP="008C0D64">
      <w:pPr>
        <w:pStyle w:val="norm"/>
        <w:spacing w:before="0" w:beforeAutospacing="0" w:after="0" w:afterAutospacing="0"/>
        <w:rPr>
          <w:b/>
          <w:sz w:val="28"/>
          <w:szCs w:val="28"/>
          <w:lang w:eastAsia="en-US"/>
        </w:rPr>
      </w:pPr>
      <w:r w:rsidRPr="0015655E">
        <w:rPr>
          <w:b/>
          <w:sz w:val="28"/>
          <w:szCs w:val="28"/>
          <w:lang w:eastAsia="en-US"/>
        </w:rPr>
        <w:t xml:space="preserve">Раздел D –  Риски </w:t>
      </w:r>
    </w:p>
    <w:p w:rsidR="008C0D64" w:rsidRPr="0015655E" w:rsidRDefault="008C0D64" w:rsidP="008C0D64">
      <w:pPr>
        <w:pStyle w:val="norm"/>
        <w:spacing w:before="0" w:beforeAutospacing="0" w:after="0" w:afterAutospacing="0"/>
        <w:rPr>
          <w:b/>
          <w:sz w:val="28"/>
          <w:szCs w:val="28"/>
          <w:lang w:eastAsia="en-US"/>
        </w:rPr>
      </w:pPr>
    </w:p>
    <w:tbl>
      <w:tblPr>
        <w:tblW w:w="10348"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4"/>
        <w:gridCol w:w="1176"/>
        <w:gridCol w:w="7448"/>
      </w:tblGrid>
      <w:tr w:rsidR="008C0D64" w:rsidRPr="0015655E" w:rsidTr="00B24149">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Приложения</w:t>
            </w:r>
          </w:p>
        </w:tc>
        <w:tc>
          <w:tcPr>
            <w:tcW w:w="113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Элемент</w:t>
            </w:r>
          </w:p>
        </w:tc>
        <w:tc>
          <w:tcPr>
            <w:tcW w:w="807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Требование к рекламе</w:t>
            </w:r>
          </w:p>
        </w:tc>
      </w:tr>
      <w:tr w:rsidR="008C0D64" w:rsidRPr="0015655E" w:rsidTr="00B24149">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right"/>
              <w:spacing w:before="0" w:beforeAutospacing="0" w:after="0" w:afterAutospacing="0"/>
              <w:rPr>
                <w:sz w:val="28"/>
                <w:szCs w:val="28"/>
                <w:lang w:val="ru-RU"/>
              </w:rPr>
            </w:pPr>
            <w:r w:rsidRPr="0015655E">
              <w:rPr>
                <w:sz w:val="28"/>
                <w:szCs w:val="28"/>
                <w:lang w:val="ru-RU"/>
              </w:rPr>
              <w:t xml:space="preserve">7 </w:t>
            </w:r>
          </w:p>
        </w:tc>
        <w:tc>
          <w:tcPr>
            <w:tcW w:w="113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D.1 </w:t>
            </w:r>
          </w:p>
        </w:tc>
        <w:tc>
          <w:tcPr>
            <w:tcW w:w="807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96" w:right="97"/>
              <w:jc w:val="both"/>
              <w:rPr>
                <w:sz w:val="28"/>
                <w:szCs w:val="28"/>
                <w:lang w:val="ru-RU"/>
              </w:rPr>
            </w:pPr>
            <w:r w:rsidRPr="0015655E">
              <w:rPr>
                <w:sz w:val="28"/>
                <w:szCs w:val="28"/>
                <w:lang w:val="ru-RU"/>
              </w:rPr>
              <w:t>Основная информация о главных рисках характерных эмитенту или сектору, в котором он осуществляет свою деятельность.</w:t>
            </w:r>
          </w:p>
        </w:tc>
      </w:tr>
      <w:tr w:rsidR="008C0D64" w:rsidRPr="0015655E" w:rsidTr="00B24149">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t xml:space="preserve">10,12,15,19 </w:t>
            </w:r>
          </w:p>
        </w:tc>
        <w:tc>
          <w:tcPr>
            <w:tcW w:w="113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D.2 </w:t>
            </w:r>
          </w:p>
        </w:tc>
        <w:tc>
          <w:tcPr>
            <w:tcW w:w="807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96" w:right="97"/>
              <w:jc w:val="both"/>
              <w:rPr>
                <w:sz w:val="28"/>
                <w:szCs w:val="28"/>
                <w:lang w:val="ru-RU"/>
              </w:rPr>
            </w:pPr>
            <w:r w:rsidRPr="0015655E">
              <w:rPr>
                <w:sz w:val="28"/>
                <w:szCs w:val="28"/>
                <w:lang w:val="ru-RU"/>
              </w:rPr>
              <w:t>Основная информация о главных рисках характерных эмитенту.</w:t>
            </w:r>
          </w:p>
        </w:tc>
      </w:tr>
      <w:tr w:rsidR="008C0D64" w:rsidRPr="0015655E" w:rsidTr="00B24149">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rStyle w:val="boldface"/>
                <w:sz w:val="28"/>
                <w:szCs w:val="28"/>
                <w:lang w:val="ru-RU"/>
              </w:rPr>
              <w:t>9,11,13</w:t>
            </w:r>
          </w:p>
        </w:tc>
        <w:tc>
          <w:tcPr>
            <w:tcW w:w="113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D.3 </w:t>
            </w:r>
          </w:p>
        </w:tc>
        <w:tc>
          <w:tcPr>
            <w:tcW w:w="807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96" w:right="97"/>
              <w:jc w:val="both"/>
              <w:rPr>
                <w:sz w:val="28"/>
                <w:szCs w:val="28"/>
                <w:lang w:val="ru-RU"/>
              </w:rPr>
            </w:pPr>
            <w:r w:rsidRPr="0015655E">
              <w:rPr>
                <w:sz w:val="28"/>
                <w:szCs w:val="28"/>
                <w:lang w:val="ru-RU"/>
              </w:rPr>
              <w:t>Основная информация о главных рисках характерных ценным бумагам.</w:t>
            </w:r>
          </w:p>
        </w:tc>
      </w:tr>
      <w:tr w:rsidR="008C0D64" w:rsidRPr="0015655E" w:rsidTr="00B24149">
        <w:trPr>
          <w:tblCellSpacing w:w="0" w:type="dxa"/>
        </w:trPr>
        <w:tc>
          <w:tcPr>
            <w:tcW w:w="1135"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rPr>
                <w:rStyle w:val="boldface"/>
                <w:sz w:val="28"/>
                <w:szCs w:val="28"/>
              </w:rPr>
            </w:pPr>
            <w:r w:rsidRPr="0015655E">
              <w:rPr>
                <w:rStyle w:val="boldface"/>
                <w:sz w:val="28"/>
                <w:szCs w:val="28"/>
              </w:rPr>
              <w:t>17</w:t>
            </w:r>
          </w:p>
          <w:p w:rsidR="008C0D64" w:rsidRPr="0015655E" w:rsidRDefault="008C0D64" w:rsidP="00B24149">
            <w:pPr>
              <w:pStyle w:val="tbl-right"/>
              <w:rPr>
                <w:sz w:val="28"/>
                <w:szCs w:val="28"/>
                <w:lang w:val="ru-RU"/>
              </w:rPr>
            </w:pPr>
          </w:p>
        </w:tc>
        <w:tc>
          <w:tcPr>
            <w:tcW w:w="1134"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D.4 </w:t>
            </w:r>
          </w:p>
        </w:tc>
        <w:tc>
          <w:tcPr>
            <w:tcW w:w="8079"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96" w:right="97"/>
              <w:rPr>
                <w:sz w:val="28"/>
                <w:szCs w:val="28"/>
                <w:lang w:val="ru-RU"/>
              </w:rPr>
            </w:pPr>
            <w:r w:rsidRPr="0015655E">
              <w:rPr>
                <w:sz w:val="28"/>
                <w:szCs w:val="28"/>
                <w:lang w:val="ru-RU"/>
              </w:rPr>
              <w:t>D.3</w:t>
            </w:r>
            <w:r w:rsidRPr="0015655E">
              <w:rPr>
                <w:rStyle w:val="boldface"/>
                <w:sz w:val="28"/>
                <w:szCs w:val="28"/>
                <w:lang w:val="ru-RU"/>
              </w:rPr>
              <w:t xml:space="preserve"> и дополнительно</w:t>
            </w:r>
            <w:r w:rsidRPr="0015655E">
              <w:rPr>
                <w:sz w:val="28"/>
                <w:szCs w:val="28"/>
                <w:lang w:val="ru-RU"/>
              </w:rPr>
              <w:t xml:space="preserve">: </w:t>
            </w:r>
          </w:p>
          <w:p w:rsidR="008C0D64" w:rsidRPr="0015655E" w:rsidRDefault="008C0D64" w:rsidP="00B24149">
            <w:pPr>
              <w:pStyle w:val="item-none"/>
              <w:spacing w:before="0" w:beforeAutospacing="0" w:after="0" w:afterAutospacing="0"/>
              <w:ind w:left="96" w:right="97"/>
              <w:jc w:val="both"/>
              <w:rPr>
                <w:sz w:val="28"/>
                <w:szCs w:val="28"/>
                <w:lang w:val="ru-RU"/>
              </w:rPr>
            </w:pPr>
            <w:proofErr w:type="gramStart"/>
            <w:r w:rsidRPr="0015655E">
              <w:rPr>
                <w:sz w:val="28"/>
                <w:szCs w:val="28"/>
                <w:lang w:val="ru-RU"/>
              </w:rPr>
              <w:t xml:space="preserve">Данный раздел должен содержать предупреждение, уведомляющее инвестора о том, что он может потерять, полностью или частично, в зависимости от случая, стоимость своей инвестиции и, в случае если принятый инвестором риск не ограничивается стоимостью его инвестиции – указание данного факта, сопровожденное описанием случаев, когда материализуется такое увеличение рисков, а также возможных финансовых эффектов соответствующей материализации. </w:t>
            </w:r>
            <w:proofErr w:type="gramEnd"/>
          </w:p>
        </w:tc>
      </w:tr>
    </w:tbl>
    <w:p w:rsidR="008C0D64" w:rsidRPr="0015655E" w:rsidRDefault="008C0D64" w:rsidP="008C0D64">
      <w:pPr>
        <w:pStyle w:val="NormalWeb"/>
        <w:rPr>
          <w:rFonts w:ascii="Times New Roman" w:hAnsi="Times New Roman" w:cs="Times New Roman"/>
          <w:sz w:val="28"/>
          <w:szCs w:val="28"/>
          <w:lang w:eastAsia="en-US"/>
        </w:rPr>
      </w:pPr>
    </w:p>
    <w:p w:rsidR="008C0D64" w:rsidRPr="0015655E" w:rsidRDefault="008C0D64" w:rsidP="008C0D64">
      <w:pPr>
        <w:pStyle w:val="norm"/>
        <w:spacing w:before="0" w:beforeAutospacing="0" w:after="0" w:afterAutospacing="0"/>
        <w:rPr>
          <w:b/>
          <w:sz w:val="28"/>
          <w:szCs w:val="28"/>
          <w:lang w:eastAsia="en-US"/>
        </w:rPr>
      </w:pPr>
      <w:r w:rsidRPr="0015655E">
        <w:rPr>
          <w:b/>
          <w:sz w:val="28"/>
          <w:szCs w:val="28"/>
          <w:lang w:eastAsia="en-US"/>
        </w:rPr>
        <w:t xml:space="preserve">Раздел E –  Предложение </w:t>
      </w:r>
    </w:p>
    <w:p w:rsidR="008C0D64" w:rsidRPr="0015655E" w:rsidRDefault="008C0D64" w:rsidP="008C0D64">
      <w:pPr>
        <w:pStyle w:val="norm"/>
        <w:spacing w:before="0" w:beforeAutospacing="0" w:after="0" w:afterAutospacing="0"/>
        <w:rPr>
          <w:b/>
          <w:sz w:val="28"/>
          <w:szCs w:val="28"/>
          <w:lang w:eastAsia="en-US"/>
        </w:rPr>
      </w:pPr>
    </w:p>
    <w:tbl>
      <w:tblPr>
        <w:tblW w:w="10348"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5"/>
        <w:gridCol w:w="1176"/>
        <w:gridCol w:w="7197"/>
      </w:tblGrid>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Приложения</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Элемент</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rPr>
                <w:b/>
                <w:sz w:val="28"/>
                <w:szCs w:val="28"/>
                <w:lang w:val="ru-RU"/>
              </w:rPr>
            </w:pPr>
            <w:r w:rsidRPr="0015655E">
              <w:rPr>
                <w:b/>
                <w:sz w:val="28"/>
                <w:szCs w:val="28"/>
                <w:lang w:val="ru-RU"/>
              </w:rPr>
              <w:t>Требование к рекламе</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rStyle w:val="boldface"/>
                <w:sz w:val="28"/>
                <w:szCs w:val="28"/>
                <w:lang w:val="ru-RU"/>
              </w:rPr>
              <w:t>9</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E.1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 xml:space="preserve">Чистая общая стоимость фондов, полученных от </w:t>
            </w:r>
            <w:r w:rsidRPr="0015655E">
              <w:rPr>
                <w:sz w:val="28"/>
                <w:szCs w:val="28"/>
                <w:lang w:val="ru-RU"/>
              </w:rPr>
              <w:lastRenderedPageBreak/>
              <w:t>эмиссии/предложения, и оценка общей себестоимости эмиссии/предложения, в том числе прогнозные расходы, взимаемые эмитентом или оферентом от инвестора.</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sz w:val="28"/>
                <w:szCs w:val="28"/>
                <w:lang w:val="ru-RU"/>
              </w:rPr>
              <w:lastRenderedPageBreak/>
              <w:t>9</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E.2a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Причины предложения, использование и прогнозная чистая стоимость полученных фондов.</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rStyle w:val="boldface"/>
                <w:sz w:val="28"/>
                <w:szCs w:val="28"/>
                <w:lang w:val="ru-RU"/>
              </w:rPr>
            </w:pPr>
            <w:r w:rsidRPr="0015655E">
              <w:rPr>
                <w:rStyle w:val="boldface"/>
                <w:sz w:val="28"/>
                <w:szCs w:val="28"/>
                <w:lang w:val="ru-RU"/>
              </w:rPr>
              <w:t>9</w:t>
            </w:r>
            <w:r>
              <w:rPr>
                <w:rStyle w:val="boldface"/>
                <w:sz w:val="28"/>
                <w:szCs w:val="28"/>
                <w:lang w:val="ru-RU"/>
              </w:rPr>
              <w:t>,</w:t>
            </w:r>
          </w:p>
          <w:p w:rsidR="008C0D64" w:rsidRPr="0015655E" w:rsidRDefault="008C0D64" w:rsidP="00B24149">
            <w:pPr>
              <w:rPr>
                <w:sz w:val="28"/>
                <w:szCs w:val="28"/>
              </w:rPr>
            </w:pPr>
            <w:r w:rsidRPr="0015655E">
              <w:rPr>
                <w:rStyle w:val="boldface"/>
                <w:sz w:val="28"/>
                <w:szCs w:val="28"/>
              </w:rPr>
              <w:t>17</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E.2b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 xml:space="preserve">Причины предложения и использование полученных фондов, если речь идет о других </w:t>
            </w:r>
            <w:proofErr w:type="gramStart"/>
            <w:r w:rsidRPr="0015655E">
              <w:rPr>
                <w:sz w:val="28"/>
                <w:szCs w:val="28"/>
                <w:lang w:val="ru-RU"/>
              </w:rPr>
              <w:t>причинах</w:t>
            </w:r>
            <w:proofErr w:type="gramEnd"/>
            <w:r w:rsidRPr="0015655E">
              <w:rPr>
                <w:sz w:val="28"/>
                <w:szCs w:val="28"/>
                <w:lang w:val="ru-RU"/>
              </w:rPr>
              <w:t xml:space="preserve"> чем получение выгоды и/или покрытие определенных рисков.</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rStyle w:val="boldface"/>
                <w:sz w:val="28"/>
                <w:szCs w:val="28"/>
                <w:lang w:val="ru-RU"/>
              </w:rPr>
              <w:t>9,11,17</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E.3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Описание условий предложения.</w:t>
            </w:r>
          </w:p>
        </w:tc>
      </w:tr>
      <w:tr w:rsidR="008C0D64" w:rsidRPr="0015655E" w:rsidTr="00B24149">
        <w:trPr>
          <w:trHeight w:val="559"/>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rStyle w:val="boldface"/>
                <w:sz w:val="28"/>
                <w:szCs w:val="28"/>
                <w:lang w:val="ru-RU"/>
              </w:rPr>
              <w:t>9,11,13,17</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E.4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Описание всех интересов, которые могли бы повлиять на эмиссию/предложение, в том числе конфликтных.</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sz w:val="28"/>
                <w:szCs w:val="28"/>
                <w:lang w:val="ru-RU"/>
              </w:rPr>
            </w:pPr>
            <w:r w:rsidRPr="0015655E">
              <w:rPr>
                <w:rStyle w:val="boldface"/>
                <w:sz w:val="28"/>
                <w:szCs w:val="28"/>
                <w:lang w:val="ru-RU"/>
              </w:rPr>
              <w:t>9</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E.5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142" w:right="97"/>
              <w:jc w:val="both"/>
              <w:rPr>
                <w:sz w:val="28"/>
                <w:szCs w:val="28"/>
                <w:lang w:val="ru-RU"/>
              </w:rPr>
            </w:pPr>
            <w:r>
              <w:rPr>
                <w:sz w:val="28"/>
                <w:szCs w:val="28"/>
                <w:lang w:val="ro-RO"/>
              </w:rPr>
              <w:t>a)</w:t>
            </w:r>
            <w:r w:rsidRPr="0015655E">
              <w:rPr>
                <w:sz w:val="28"/>
                <w:szCs w:val="28"/>
                <w:lang w:val="ru-RU"/>
              </w:rPr>
              <w:t xml:space="preserve"> Фамилия лица или наименование общества, которое предлагает на продажу ценную бумагу.</w:t>
            </w:r>
          </w:p>
          <w:p w:rsidR="008C0D64" w:rsidRPr="0015655E" w:rsidRDefault="008C0D64" w:rsidP="00B24149">
            <w:pPr>
              <w:pStyle w:val="tbl-norm"/>
              <w:spacing w:before="0" w:beforeAutospacing="0" w:after="0" w:afterAutospacing="0"/>
              <w:ind w:left="142" w:right="97"/>
              <w:jc w:val="both"/>
              <w:rPr>
                <w:sz w:val="28"/>
                <w:szCs w:val="28"/>
                <w:lang w:val="ru-RU"/>
              </w:rPr>
            </w:pPr>
            <w:r>
              <w:rPr>
                <w:sz w:val="28"/>
                <w:szCs w:val="28"/>
                <w:lang w:val="ro-RO"/>
              </w:rPr>
              <w:t>b)</w:t>
            </w:r>
            <w:r w:rsidRPr="0015655E">
              <w:rPr>
                <w:sz w:val="28"/>
                <w:szCs w:val="28"/>
                <w:lang w:val="ru-RU"/>
              </w:rPr>
              <w:t>Ограничительные договора: идентификация вовлеченных сторон; продолжительность ограничительного периода.</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spacing w:before="0" w:beforeAutospacing="0" w:after="0" w:afterAutospacing="0"/>
              <w:rPr>
                <w:rStyle w:val="boldface"/>
                <w:sz w:val="28"/>
                <w:szCs w:val="28"/>
                <w:lang w:val="ru-RU"/>
              </w:rPr>
            </w:pPr>
            <w:r w:rsidRPr="0015655E">
              <w:rPr>
                <w:rStyle w:val="boldface"/>
                <w:sz w:val="28"/>
                <w:szCs w:val="28"/>
                <w:lang w:val="ru-RU"/>
              </w:rPr>
              <w:t>9</w:t>
            </w:r>
          </w:p>
          <w:p w:rsidR="008C0D64" w:rsidRPr="0015655E" w:rsidRDefault="008C0D64" w:rsidP="00B24149">
            <w:pPr>
              <w:pStyle w:val="tbl-left"/>
              <w:spacing w:before="0" w:beforeAutospacing="0" w:after="0" w:afterAutospacing="0"/>
              <w:rPr>
                <w:sz w:val="28"/>
                <w:szCs w:val="28"/>
                <w:lang w:val="ru-RU"/>
              </w:rPr>
            </w:pP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E.6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spacing w:before="0" w:beforeAutospacing="0" w:after="0" w:afterAutospacing="0"/>
              <w:ind w:left="142" w:right="97"/>
              <w:jc w:val="both"/>
              <w:rPr>
                <w:sz w:val="28"/>
                <w:szCs w:val="28"/>
                <w:lang w:val="ru-RU"/>
              </w:rPr>
            </w:pPr>
            <w:r>
              <w:rPr>
                <w:sz w:val="28"/>
                <w:szCs w:val="28"/>
                <w:lang w:val="ro-RO"/>
              </w:rPr>
              <w:t>a)</w:t>
            </w:r>
            <w:r w:rsidRPr="0015655E">
              <w:rPr>
                <w:sz w:val="28"/>
                <w:szCs w:val="28"/>
                <w:lang w:val="ru-RU"/>
              </w:rPr>
              <w:t xml:space="preserve"> Объем и проценты распределения, определенные прямо предложением.</w:t>
            </w:r>
          </w:p>
          <w:p w:rsidR="008C0D64" w:rsidRPr="0015655E" w:rsidRDefault="008C0D64" w:rsidP="00B24149">
            <w:pPr>
              <w:pStyle w:val="tbl-norm"/>
              <w:spacing w:before="0" w:beforeAutospacing="0" w:after="0" w:afterAutospacing="0"/>
              <w:ind w:left="142" w:right="97"/>
              <w:jc w:val="both"/>
              <w:rPr>
                <w:sz w:val="28"/>
                <w:szCs w:val="28"/>
                <w:lang w:val="ru-RU"/>
              </w:rPr>
            </w:pPr>
            <w:r>
              <w:rPr>
                <w:sz w:val="28"/>
                <w:szCs w:val="28"/>
                <w:lang w:val="ro-RO"/>
              </w:rPr>
              <w:t>b)</w:t>
            </w:r>
            <w:r w:rsidRPr="0015655E">
              <w:rPr>
                <w:sz w:val="28"/>
                <w:szCs w:val="28"/>
                <w:lang w:val="ru-RU"/>
              </w:rPr>
              <w:t xml:space="preserve"> В случае предложения на подписку, направленного существующим акционерам, объем и проценты немедленного распределения, которое произошло бы в случае </w:t>
            </w:r>
            <w:proofErr w:type="spellStart"/>
            <w:r w:rsidRPr="0015655E">
              <w:rPr>
                <w:sz w:val="28"/>
                <w:szCs w:val="28"/>
                <w:lang w:val="ru-RU"/>
              </w:rPr>
              <w:t>неподписки</w:t>
            </w:r>
            <w:proofErr w:type="spellEnd"/>
            <w:r w:rsidRPr="0015655E">
              <w:rPr>
                <w:sz w:val="28"/>
                <w:szCs w:val="28"/>
                <w:lang w:val="ru-RU"/>
              </w:rPr>
              <w:t xml:space="preserve"> на новое предложение.</w:t>
            </w:r>
          </w:p>
        </w:tc>
      </w:tr>
      <w:tr w:rsidR="008C0D64" w:rsidRPr="0015655E" w:rsidTr="00B24149">
        <w:trPr>
          <w:tblCellSpacing w:w="0" w:type="dxa"/>
        </w:trPr>
        <w:tc>
          <w:tcPr>
            <w:tcW w:w="1988"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Все приложения</w:t>
            </w:r>
          </w:p>
        </w:tc>
        <w:tc>
          <w:tcPr>
            <w:tcW w:w="0" w:type="auto"/>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left"/>
              <w:rPr>
                <w:sz w:val="28"/>
                <w:szCs w:val="28"/>
                <w:lang w:val="ru-RU"/>
              </w:rPr>
            </w:pPr>
            <w:r w:rsidRPr="0015655E">
              <w:rPr>
                <w:sz w:val="28"/>
                <w:szCs w:val="28"/>
                <w:lang w:val="ru-RU"/>
              </w:rPr>
              <w:t xml:space="preserve">E.7 </w:t>
            </w:r>
          </w:p>
        </w:tc>
        <w:tc>
          <w:tcPr>
            <w:tcW w:w="7416" w:type="dxa"/>
            <w:tcBorders>
              <w:top w:val="outset" w:sz="6" w:space="0" w:color="auto"/>
              <w:left w:val="outset" w:sz="6" w:space="0" w:color="auto"/>
              <w:bottom w:val="outset" w:sz="6" w:space="0" w:color="auto"/>
              <w:right w:val="outset" w:sz="6" w:space="0" w:color="auto"/>
            </w:tcBorders>
            <w:hideMark/>
          </w:tcPr>
          <w:p w:rsidR="008C0D64" w:rsidRPr="0015655E" w:rsidRDefault="008C0D64" w:rsidP="00B24149">
            <w:pPr>
              <w:pStyle w:val="tbl-norm"/>
              <w:ind w:left="142" w:right="97"/>
              <w:jc w:val="both"/>
              <w:rPr>
                <w:sz w:val="28"/>
                <w:szCs w:val="28"/>
                <w:lang w:val="ru-RU"/>
              </w:rPr>
            </w:pPr>
            <w:r w:rsidRPr="0015655E">
              <w:rPr>
                <w:sz w:val="28"/>
                <w:szCs w:val="28"/>
                <w:lang w:val="ru-RU"/>
              </w:rPr>
              <w:t>Оценка расходов, взимаемых эмитентом или оферентом от инвестора.</w:t>
            </w:r>
          </w:p>
        </w:tc>
      </w:tr>
    </w:tbl>
    <w:p w:rsidR="008C0D64" w:rsidRPr="0015655E" w:rsidRDefault="008C0D64" w:rsidP="008C0D64">
      <w:pPr>
        <w:rPr>
          <w:sz w:val="28"/>
          <w:szCs w:val="28"/>
        </w:rPr>
      </w:pPr>
    </w:p>
    <w:p w:rsidR="008C0D64" w:rsidRDefault="008C0D64">
      <w:bookmarkStart w:id="0" w:name="_GoBack"/>
      <w:bookmarkEnd w:id="0"/>
    </w:p>
    <w:sectPr w:rsidR="008C0D64" w:rsidSect="00904C1E">
      <w:footerReference w:type="default" r:id="rId5"/>
      <w:pgSz w:w="12240" w:h="15840"/>
      <w:pgMar w:top="851" w:right="900" w:bottom="567"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155"/>
      <w:docPartObj>
        <w:docPartGallery w:val="Page Numbers (Bottom of Page)"/>
        <w:docPartUnique/>
      </w:docPartObj>
    </w:sdtPr>
    <w:sdtEndPr/>
    <w:sdtContent>
      <w:p w:rsidR="0003157E" w:rsidRDefault="008C0D64">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03157E" w:rsidRPr="00203098" w:rsidRDefault="008C0D64" w:rsidP="00123978">
    <w:pPr>
      <w:pStyle w:val="Footer"/>
      <w:ind w:right="360"/>
      <w:rPr>
        <w:lang w:val="ro-RO"/>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64"/>
    <w:rsid w:val="008C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8C0D6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64"/>
    <w:rPr>
      <w:rFonts w:ascii="Times New Roman CYR" w:eastAsia="Times New Roman" w:hAnsi="Times New Roman CYR" w:cs="Times New Roman CYR"/>
      <w:sz w:val="24"/>
      <w:szCs w:val="24"/>
      <w:lang w:val="ru-RU" w:eastAsia="ru-RU"/>
    </w:rPr>
  </w:style>
  <w:style w:type="paragraph" w:styleId="NormalWeb">
    <w:name w:val="Normal (Web)"/>
    <w:basedOn w:val="Normal"/>
    <w:link w:val="NormalWebChar"/>
    <w:uiPriority w:val="99"/>
    <w:rsid w:val="008C0D64"/>
    <w:pPr>
      <w:widowControl/>
      <w:autoSpaceDE/>
      <w:autoSpaceDN/>
      <w:adjustRightInd/>
      <w:ind w:firstLine="567"/>
      <w:jc w:val="both"/>
    </w:pPr>
  </w:style>
  <w:style w:type="paragraph" w:styleId="Footer">
    <w:name w:val="footer"/>
    <w:basedOn w:val="Normal"/>
    <w:link w:val="FooterChar"/>
    <w:uiPriority w:val="99"/>
    <w:rsid w:val="008C0D64"/>
    <w:pPr>
      <w:tabs>
        <w:tab w:val="center" w:pos="4677"/>
        <w:tab w:val="right" w:pos="9355"/>
      </w:tabs>
    </w:pPr>
  </w:style>
  <w:style w:type="character" w:customStyle="1" w:styleId="FooterChar">
    <w:name w:val="Footer Char"/>
    <w:basedOn w:val="DefaultParagraphFont"/>
    <w:link w:val="Footer"/>
    <w:uiPriority w:val="99"/>
    <w:rsid w:val="008C0D64"/>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8C0D6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C0D64"/>
    <w:rPr>
      <w:rFonts w:ascii="Calibri" w:eastAsia="Times New Roman" w:hAnsi="Calibri" w:cs="Times New Roman"/>
      <w:lang w:val="ru-RU" w:eastAsia="ru-RU"/>
    </w:rPr>
  </w:style>
  <w:style w:type="character" w:customStyle="1" w:styleId="NormalWebChar">
    <w:name w:val="Normal (Web) Char"/>
    <w:basedOn w:val="DefaultParagraphFont"/>
    <w:link w:val="NormalWeb"/>
    <w:uiPriority w:val="99"/>
    <w:rsid w:val="008C0D64"/>
    <w:rPr>
      <w:rFonts w:ascii="Times New Roman CYR" w:eastAsia="Times New Roman" w:hAnsi="Times New Roman CYR" w:cs="Times New Roman CYR"/>
      <w:sz w:val="24"/>
      <w:szCs w:val="24"/>
      <w:lang w:val="ru-RU" w:eastAsia="ru-RU"/>
    </w:rPr>
  </w:style>
  <w:style w:type="character" w:customStyle="1" w:styleId="boldface">
    <w:name w:val="boldface"/>
    <w:basedOn w:val="DefaultParagraphFont"/>
    <w:rsid w:val="008C0D64"/>
  </w:style>
  <w:style w:type="paragraph" w:customStyle="1" w:styleId="norm">
    <w:name w:val="norm"/>
    <w:basedOn w:val="Normal"/>
    <w:rsid w:val="008C0D64"/>
    <w:pPr>
      <w:widowControl/>
      <w:autoSpaceDE/>
      <w:autoSpaceDN/>
      <w:adjustRightInd/>
      <w:spacing w:before="100" w:beforeAutospacing="1" w:after="100" w:afterAutospacing="1"/>
    </w:pPr>
    <w:rPr>
      <w:rFonts w:ascii="Times New Roman" w:hAnsi="Times New Roman" w:cs="Times New Roman"/>
    </w:rPr>
  </w:style>
  <w:style w:type="character" w:customStyle="1" w:styleId="italics">
    <w:name w:val="italics"/>
    <w:basedOn w:val="DefaultParagraphFont"/>
    <w:rsid w:val="008C0D64"/>
  </w:style>
  <w:style w:type="paragraph" w:customStyle="1" w:styleId="tbl-norm">
    <w:name w:val="tbl-norm"/>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left">
    <w:name w:val="tbl-left"/>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item-none">
    <w:name w:val="item-none"/>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right">
    <w:name w:val="tbl-right"/>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8C0D6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D64"/>
    <w:rPr>
      <w:rFonts w:ascii="Times New Roman CYR" w:eastAsia="Times New Roman" w:hAnsi="Times New Roman CYR" w:cs="Times New Roman CYR"/>
      <w:sz w:val="24"/>
      <w:szCs w:val="24"/>
      <w:lang w:val="ru-RU" w:eastAsia="ru-RU"/>
    </w:rPr>
  </w:style>
  <w:style w:type="paragraph" w:styleId="NormalWeb">
    <w:name w:val="Normal (Web)"/>
    <w:basedOn w:val="Normal"/>
    <w:link w:val="NormalWebChar"/>
    <w:uiPriority w:val="99"/>
    <w:rsid w:val="008C0D64"/>
    <w:pPr>
      <w:widowControl/>
      <w:autoSpaceDE/>
      <w:autoSpaceDN/>
      <w:adjustRightInd/>
      <w:ind w:firstLine="567"/>
      <w:jc w:val="both"/>
    </w:pPr>
  </w:style>
  <w:style w:type="paragraph" w:styleId="Footer">
    <w:name w:val="footer"/>
    <w:basedOn w:val="Normal"/>
    <w:link w:val="FooterChar"/>
    <w:uiPriority w:val="99"/>
    <w:rsid w:val="008C0D64"/>
    <w:pPr>
      <w:tabs>
        <w:tab w:val="center" w:pos="4677"/>
        <w:tab w:val="right" w:pos="9355"/>
      </w:tabs>
    </w:pPr>
  </w:style>
  <w:style w:type="character" w:customStyle="1" w:styleId="FooterChar">
    <w:name w:val="Footer Char"/>
    <w:basedOn w:val="DefaultParagraphFont"/>
    <w:link w:val="Footer"/>
    <w:uiPriority w:val="99"/>
    <w:rsid w:val="008C0D64"/>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8C0D6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C0D64"/>
    <w:rPr>
      <w:rFonts w:ascii="Calibri" w:eastAsia="Times New Roman" w:hAnsi="Calibri" w:cs="Times New Roman"/>
      <w:lang w:val="ru-RU" w:eastAsia="ru-RU"/>
    </w:rPr>
  </w:style>
  <w:style w:type="character" w:customStyle="1" w:styleId="NormalWebChar">
    <w:name w:val="Normal (Web) Char"/>
    <w:basedOn w:val="DefaultParagraphFont"/>
    <w:link w:val="NormalWeb"/>
    <w:uiPriority w:val="99"/>
    <w:rsid w:val="008C0D64"/>
    <w:rPr>
      <w:rFonts w:ascii="Times New Roman CYR" w:eastAsia="Times New Roman" w:hAnsi="Times New Roman CYR" w:cs="Times New Roman CYR"/>
      <w:sz w:val="24"/>
      <w:szCs w:val="24"/>
      <w:lang w:val="ru-RU" w:eastAsia="ru-RU"/>
    </w:rPr>
  </w:style>
  <w:style w:type="character" w:customStyle="1" w:styleId="boldface">
    <w:name w:val="boldface"/>
    <w:basedOn w:val="DefaultParagraphFont"/>
    <w:rsid w:val="008C0D64"/>
  </w:style>
  <w:style w:type="paragraph" w:customStyle="1" w:styleId="norm">
    <w:name w:val="norm"/>
    <w:basedOn w:val="Normal"/>
    <w:rsid w:val="008C0D64"/>
    <w:pPr>
      <w:widowControl/>
      <w:autoSpaceDE/>
      <w:autoSpaceDN/>
      <w:adjustRightInd/>
      <w:spacing w:before="100" w:beforeAutospacing="1" w:after="100" w:afterAutospacing="1"/>
    </w:pPr>
    <w:rPr>
      <w:rFonts w:ascii="Times New Roman" w:hAnsi="Times New Roman" w:cs="Times New Roman"/>
    </w:rPr>
  </w:style>
  <w:style w:type="character" w:customStyle="1" w:styleId="italics">
    <w:name w:val="italics"/>
    <w:basedOn w:val="DefaultParagraphFont"/>
    <w:rsid w:val="008C0D64"/>
  </w:style>
  <w:style w:type="paragraph" w:customStyle="1" w:styleId="tbl-norm">
    <w:name w:val="tbl-norm"/>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left">
    <w:name w:val="tbl-left"/>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item-none">
    <w:name w:val="item-none"/>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 w:type="paragraph" w:customStyle="1" w:styleId="tbl-right">
    <w:name w:val="tbl-right"/>
    <w:basedOn w:val="Normal"/>
    <w:rsid w:val="008C0D64"/>
    <w:pPr>
      <w:widowControl/>
      <w:autoSpaceDE/>
      <w:autoSpaceDN/>
      <w:adjustRightInd/>
      <w:spacing w:before="100" w:beforeAutospacing="1" w:after="100" w:afterAutospacing="1"/>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12717</Characters>
  <Application>Microsoft Office Word</Application>
  <DocSecurity>0</DocSecurity>
  <Lines>105</Lines>
  <Paragraphs>29</Paragraphs>
  <ScaleCrop>false</ScaleCrop>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2018-05-29T06:34:00Z</dcterms:created>
  <dcterms:modified xsi:type="dcterms:W3CDTF">2018-05-29T06:35:00Z</dcterms:modified>
</cp:coreProperties>
</file>